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EA69D" w14:textId="77777777" w:rsidR="00E252EE" w:rsidRDefault="008464E9" w:rsidP="000D1CB3">
                                <w:pPr>
                                  <w:jc w:val="center"/>
                                  <w:rPr>
                                    <w:rFonts w:cs="Arial"/>
                                    <w:b/>
                                    <w:color w:val="auto"/>
                                    <w:sz w:val="40"/>
                                    <w:szCs w:val="56"/>
                                    <w:lang w:val="ka-GE"/>
                                  </w:rPr>
                                </w:pPr>
                                <w:r>
                                  <w:rPr>
                                    <w:rFonts w:cs="Arial"/>
                                    <w:b/>
                                    <w:color w:val="auto"/>
                                    <w:sz w:val="40"/>
                                    <w:szCs w:val="56"/>
                                    <w:lang w:val="af-ZA"/>
                                  </w:rPr>
                                  <w:t xml:space="preserve">  </w:t>
                                </w:r>
                                <w:r w:rsidR="00B100E4" w:rsidRPr="00B100E4">
                                  <w:rPr>
                                    <w:rFonts w:cs="Arial"/>
                                    <w:b/>
                                    <w:color w:val="auto"/>
                                    <w:sz w:val="40"/>
                                    <w:szCs w:val="56"/>
                                    <w:lang w:val="ka-GE"/>
                                  </w:rPr>
                                  <w:t>ტენდერი სასმელი წყლის</w:t>
                                </w:r>
                                <w:r w:rsidR="00E252EE">
                                  <w:rPr>
                                    <w:rFonts w:cs="Arial"/>
                                    <w:b/>
                                    <w:color w:val="auto"/>
                                    <w:sz w:val="40"/>
                                    <w:szCs w:val="56"/>
                                  </w:rPr>
                                  <w:t xml:space="preserve"> (19 </w:t>
                                </w:r>
                                <w:r w:rsidR="00E252EE">
                                  <w:rPr>
                                    <w:rFonts w:cs="Arial"/>
                                    <w:b/>
                                    <w:color w:val="auto"/>
                                    <w:sz w:val="40"/>
                                    <w:szCs w:val="56"/>
                                    <w:lang w:val="ka-GE"/>
                                  </w:rPr>
                                  <w:t>ლიტრიანი ბალონებით)</w:t>
                                </w:r>
                              </w:p>
                              <w:p w14:paraId="573A4337" w14:textId="0B5AB672" w:rsidR="006F3955" w:rsidRPr="0095114F" w:rsidRDefault="00B100E4" w:rsidP="000D1CB3">
                                <w:pPr>
                                  <w:jc w:val="center"/>
                                  <w:rPr>
                                    <w:b/>
                                    <w:color w:val="E36C0A" w:themeColor="accent6" w:themeShade="BF"/>
                                    <w:sz w:val="44"/>
                                    <w:szCs w:val="56"/>
                                    <w:lang w:val="ka-GE"/>
                                  </w:rPr>
                                </w:pPr>
                                <w:r w:rsidRPr="00B100E4">
                                  <w:rPr>
                                    <w:rFonts w:cs="Arial"/>
                                    <w:b/>
                                    <w:color w:val="auto"/>
                                    <w:sz w:val="40"/>
                                    <w:szCs w:val="56"/>
                                    <w:lang w:val="ka-GE"/>
                                  </w:rPr>
                                  <w:t xml:space="preserve"> შესყიდვა/მომსახურებაზე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34EA69D" w14:textId="77777777" w:rsidR="00E252EE" w:rsidRDefault="008464E9" w:rsidP="000D1CB3">
                          <w:pPr>
                            <w:jc w:val="center"/>
                            <w:rPr>
                              <w:rFonts w:cs="Arial"/>
                              <w:b/>
                              <w:color w:val="auto"/>
                              <w:sz w:val="40"/>
                              <w:szCs w:val="56"/>
                              <w:lang w:val="ka-GE"/>
                            </w:rPr>
                          </w:pPr>
                          <w:r>
                            <w:rPr>
                              <w:rFonts w:cs="Arial"/>
                              <w:b/>
                              <w:color w:val="auto"/>
                              <w:sz w:val="40"/>
                              <w:szCs w:val="56"/>
                              <w:lang w:val="af-ZA"/>
                            </w:rPr>
                            <w:t xml:space="preserve">  </w:t>
                          </w:r>
                          <w:r w:rsidR="00B100E4" w:rsidRPr="00B100E4">
                            <w:rPr>
                              <w:rFonts w:cs="Arial"/>
                              <w:b/>
                              <w:color w:val="auto"/>
                              <w:sz w:val="40"/>
                              <w:szCs w:val="56"/>
                              <w:lang w:val="ka-GE"/>
                            </w:rPr>
                            <w:t>ტენდერი სასმელი წყლის</w:t>
                          </w:r>
                          <w:r w:rsidR="00E252EE">
                            <w:rPr>
                              <w:rFonts w:cs="Arial"/>
                              <w:b/>
                              <w:color w:val="auto"/>
                              <w:sz w:val="40"/>
                              <w:szCs w:val="56"/>
                            </w:rPr>
                            <w:t xml:space="preserve"> (19 </w:t>
                          </w:r>
                          <w:r w:rsidR="00E252EE">
                            <w:rPr>
                              <w:rFonts w:cs="Arial"/>
                              <w:b/>
                              <w:color w:val="auto"/>
                              <w:sz w:val="40"/>
                              <w:szCs w:val="56"/>
                              <w:lang w:val="ka-GE"/>
                            </w:rPr>
                            <w:t>ლიტრიანი ბალონებით)</w:t>
                          </w:r>
                        </w:p>
                        <w:p w14:paraId="573A4337" w14:textId="0B5AB672" w:rsidR="006F3955" w:rsidRPr="0095114F" w:rsidRDefault="00B100E4" w:rsidP="000D1CB3">
                          <w:pPr>
                            <w:jc w:val="center"/>
                            <w:rPr>
                              <w:b/>
                              <w:color w:val="E36C0A" w:themeColor="accent6" w:themeShade="BF"/>
                              <w:sz w:val="44"/>
                              <w:szCs w:val="56"/>
                              <w:lang w:val="ka-GE"/>
                            </w:rPr>
                          </w:pPr>
                          <w:r w:rsidRPr="00B100E4">
                            <w:rPr>
                              <w:rFonts w:cs="Arial"/>
                              <w:b/>
                              <w:color w:val="auto"/>
                              <w:sz w:val="40"/>
                              <w:szCs w:val="56"/>
                              <w:lang w:val="ka-GE"/>
                            </w:rPr>
                            <w:t xml:space="preserve"> შესყიდვა/მომსახურებაზე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2C05DF3" w:rsidR="006F3955" w:rsidRDefault="0059044D" w:rsidP="007C5AE6">
                                      <w:pPr>
                                        <w:rPr>
                                          <w:lang w:val="ka-GE"/>
                                        </w:rPr>
                                      </w:pPr>
                                      <w:r>
                                        <w:rPr>
                                          <w:lang w:val="ka-GE"/>
                                        </w:rPr>
                                        <w:t>1</w:t>
                                      </w:r>
                                      <w:r w:rsidR="00526C70">
                                        <w:rPr>
                                          <w:lang w:val="ka-GE"/>
                                        </w:rPr>
                                        <w:t>4</w:t>
                                      </w:r>
                                      <w:r>
                                        <w:rPr>
                                          <w:lang w:val="ka-GE"/>
                                        </w:rPr>
                                        <w:t xml:space="preserve"> აპრილი</w:t>
                                      </w:r>
                                      <w:r w:rsidR="006F3955">
                                        <w:rPr>
                                          <w:lang w:val="ka-GE"/>
                                        </w:rPr>
                                        <w:t xml:space="preserve"> 20</w:t>
                                      </w:r>
                                      <w:r w:rsidR="00FF70BF">
                                        <w:rPr>
                                          <w:lang w:val="ka-GE"/>
                                        </w:rPr>
                                        <w:t>21</w:t>
                                      </w:r>
                                    </w:p>
                                    <w:p w14:paraId="5273460A" w14:textId="7BBB80D6" w:rsidR="006F3955" w:rsidRPr="00415C7C" w:rsidRDefault="0059044D" w:rsidP="00526C70">
                                      <w:pPr>
                                        <w:rPr>
                                          <w:lang w:val="ka-GE"/>
                                        </w:rPr>
                                      </w:pPr>
                                      <w:r>
                                        <w:rPr>
                                          <w:lang w:val="ka-GE"/>
                                        </w:rPr>
                                        <w:t>2</w:t>
                                      </w:r>
                                      <w:r w:rsidR="00526C70">
                                        <w:rPr>
                                          <w:lang w:val="ka-GE"/>
                                        </w:rPr>
                                        <w:t>3</w:t>
                                      </w:r>
                                      <w:r>
                                        <w:rPr>
                                          <w:lang w:val="ka-GE"/>
                                        </w:rPr>
                                        <w:t xml:space="preserve"> აპრილი</w:t>
                                      </w:r>
                                      <w:r w:rsidR="00F94DFC">
                                        <w:rPr>
                                          <w:lang w:val="ka-GE"/>
                                        </w:rPr>
                                        <w:t xml:space="preserve"> 20</w:t>
                                      </w:r>
                                      <w:r w:rsidR="00FF70BF">
                                        <w:rPr>
                                          <w:lang w:val="ka-GE"/>
                                        </w:rPr>
                                        <w:t>21</w:t>
                                      </w:r>
                                      <w:r w:rsidR="008519D2">
                                        <w:rPr>
                                          <w:lang w:val="ka-GE"/>
                                        </w:rPr>
                                        <w:t xml:space="preserve"> (15:00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6A58208" w:rsidR="006F3955" w:rsidRPr="00FF70BF" w:rsidRDefault="00FF70BF" w:rsidP="009E06FA">
                                      <w:pPr>
                                        <w:rPr>
                                          <w:lang w:val="ka-GE"/>
                                        </w:rPr>
                                      </w:pPr>
                                      <w:proofErr w:type="spellStart"/>
                                      <w:r>
                                        <w:t>კონსტანტინე</w:t>
                                      </w:r>
                                      <w:proofErr w:type="spellEnd"/>
                                      <w:r>
                                        <w:t xml:space="preserve"> </w:t>
                                      </w:r>
                                      <w:proofErr w:type="spellStart"/>
                                      <w:r>
                                        <w:t>მეტრეველი</w:t>
                                      </w:r>
                                      <w:proofErr w:type="spellEnd"/>
                                    </w:p>
                                    <w:p w14:paraId="7B428894" w14:textId="3F5B24C3" w:rsidR="006F3955" w:rsidRDefault="00FF70BF" w:rsidP="00313B50">
                                      <w:pPr>
                                        <w:rPr>
                                          <w:lang w:val="ka-GE"/>
                                        </w:rPr>
                                      </w:pPr>
                                      <w:r>
                                        <w:t>Ko.Metreveli@bog.ge</w:t>
                                      </w:r>
                                      <w:hyperlink r:id="rId10" w:history="1"/>
                                    </w:p>
                                    <w:p w14:paraId="2D516649" w14:textId="202FA439" w:rsidR="002348C6" w:rsidRPr="002348C6" w:rsidRDefault="00FF70BF" w:rsidP="00FF70BF">
                                      <w:pPr>
                                        <w:rPr>
                                          <w:lang w:val="ka-GE"/>
                                        </w:rPr>
                                      </w:pPr>
                                      <w:r>
                                        <w:rPr>
                                          <w:lang w:val="ka-GE"/>
                                        </w:rPr>
                                        <w:t>59</w:t>
                                      </w:r>
                                      <w:r w:rsidR="002348C6">
                                        <w:rPr>
                                          <w:lang w:val="ka-GE"/>
                                        </w:rPr>
                                        <w:t xml:space="preserve">5 </w:t>
                                      </w:r>
                                      <w:r>
                                        <w:t>03</w:t>
                                      </w:r>
                                      <w:r w:rsidR="00047A1A">
                                        <w:t xml:space="preserve"> </w:t>
                                      </w:r>
                                      <w:r>
                                        <w:t>64</w:t>
                                      </w:r>
                                      <w:r w:rsidR="00047A1A">
                                        <w:t xml:space="preserve"> </w:t>
                                      </w:r>
                                      <w:r>
                                        <w:t>84</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2C05DF3" w:rsidR="006F3955" w:rsidRDefault="0059044D" w:rsidP="007C5AE6">
                                <w:pPr>
                                  <w:rPr>
                                    <w:lang w:val="ka-GE"/>
                                  </w:rPr>
                                </w:pPr>
                                <w:r>
                                  <w:rPr>
                                    <w:lang w:val="ka-GE"/>
                                  </w:rPr>
                                  <w:t>1</w:t>
                                </w:r>
                                <w:r w:rsidR="00526C70">
                                  <w:rPr>
                                    <w:lang w:val="ka-GE"/>
                                  </w:rPr>
                                  <w:t>4</w:t>
                                </w:r>
                                <w:r>
                                  <w:rPr>
                                    <w:lang w:val="ka-GE"/>
                                  </w:rPr>
                                  <w:t xml:space="preserve"> აპრილი</w:t>
                                </w:r>
                                <w:r w:rsidR="006F3955">
                                  <w:rPr>
                                    <w:lang w:val="ka-GE"/>
                                  </w:rPr>
                                  <w:t xml:space="preserve"> 20</w:t>
                                </w:r>
                                <w:r w:rsidR="00FF70BF">
                                  <w:rPr>
                                    <w:lang w:val="ka-GE"/>
                                  </w:rPr>
                                  <w:t>21</w:t>
                                </w:r>
                              </w:p>
                              <w:p w14:paraId="5273460A" w14:textId="7BBB80D6" w:rsidR="006F3955" w:rsidRPr="00415C7C" w:rsidRDefault="0059044D" w:rsidP="00526C70">
                                <w:pPr>
                                  <w:rPr>
                                    <w:lang w:val="ka-GE"/>
                                  </w:rPr>
                                </w:pPr>
                                <w:r>
                                  <w:rPr>
                                    <w:lang w:val="ka-GE"/>
                                  </w:rPr>
                                  <w:t>2</w:t>
                                </w:r>
                                <w:r w:rsidR="00526C70">
                                  <w:rPr>
                                    <w:lang w:val="ka-GE"/>
                                  </w:rPr>
                                  <w:t>3</w:t>
                                </w:r>
                                <w:r>
                                  <w:rPr>
                                    <w:lang w:val="ka-GE"/>
                                  </w:rPr>
                                  <w:t xml:space="preserve"> აპრილი</w:t>
                                </w:r>
                                <w:r w:rsidR="00F94DFC">
                                  <w:rPr>
                                    <w:lang w:val="ka-GE"/>
                                  </w:rPr>
                                  <w:t xml:space="preserve"> 20</w:t>
                                </w:r>
                                <w:r w:rsidR="00FF70BF">
                                  <w:rPr>
                                    <w:lang w:val="ka-GE"/>
                                  </w:rPr>
                                  <w:t>21</w:t>
                                </w:r>
                                <w:r w:rsidR="008519D2">
                                  <w:rPr>
                                    <w:lang w:val="ka-GE"/>
                                  </w:rPr>
                                  <w:t xml:space="preserve"> (15:00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6A58208" w:rsidR="006F3955" w:rsidRPr="00FF70BF" w:rsidRDefault="00FF70BF" w:rsidP="009E06FA">
                                <w:pPr>
                                  <w:rPr>
                                    <w:lang w:val="ka-GE"/>
                                  </w:rPr>
                                </w:pPr>
                                <w:proofErr w:type="spellStart"/>
                                <w:r>
                                  <w:t>კონსტანტინე</w:t>
                                </w:r>
                                <w:proofErr w:type="spellEnd"/>
                                <w:r>
                                  <w:t xml:space="preserve"> </w:t>
                                </w:r>
                                <w:proofErr w:type="spellStart"/>
                                <w:r>
                                  <w:t>მეტრეველი</w:t>
                                </w:r>
                                <w:proofErr w:type="spellEnd"/>
                              </w:p>
                              <w:p w14:paraId="7B428894" w14:textId="3F5B24C3" w:rsidR="006F3955" w:rsidRDefault="00FF70BF" w:rsidP="00313B50">
                                <w:pPr>
                                  <w:rPr>
                                    <w:lang w:val="ka-GE"/>
                                  </w:rPr>
                                </w:pPr>
                                <w:r>
                                  <w:t>Ko.Metreveli@bog.ge</w:t>
                                </w:r>
                                <w:hyperlink r:id="rId11" w:history="1"/>
                              </w:p>
                              <w:p w14:paraId="2D516649" w14:textId="202FA439" w:rsidR="002348C6" w:rsidRPr="002348C6" w:rsidRDefault="00FF70BF" w:rsidP="00FF70BF">
                                <w:pPr>
                                  <w:rPr>
                                    <w:lang w:val="ka-GE"/>
                                  </w:rPr>
                                </w:pPr>
                                <w:r>
                                  <w:rPr>
                                    <w:lang w:val="ka-GE"/>
                                  </w:rPr>
                                  <w:t>59</w:t>
                                </w:r>
                                <w:r w:rsidR="002348C6">
                                  <w:rPr>
                                    <w:lang w:val="ka-GE"/>
                                  </w:rPr>
                                  <w:t xml:space="preserve">5 </w:t>
                                </w:r>
                                <w:r>
                                  <w:t>03</w:t>
                                </w:r>
                                <w:r w:rsidR="00047A1A">
                                  <w:t xml:space="preserve"> </w:t>
                                </w:r>
                                <w:r>
                                  <w:t>64</w:t>
                                </w:r>
                                <w:r w:rsidR="00047A1A">
                                  <w:t xml:space="preserve"> </w:t>
                                </w:r>
                                <w:r>
                                  <w:t>84</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554BFEE" w14:textId="77777777" w:rsidR="00E252EE" w:rsidRDefault="00B100E4" w:rsidP="008134F9">
      <w:pPr>
        <w:jc w:val="center"/>
        <w:rPr>
          <w:rFonts w:cs="Arial"/>
          <w:b/>
          <w:color w:val="auto"/>
          <w:sz w:val="40"/>
          <w:szCs w:val="56"/>
          <w:lang w:val="ka-GE"/>
        </w:rPr>
      </w:pPr>
      <w:bookmarkStart w:id="0" w:name="_Toc456350217"/>
      <w:bookmarkStart w:id="1" w:name="_Toc456347628"/>
      <w:r w:rsidRPr="00B100E4">
        <w:rPr>
          <w:rFonts w:cs="Arial"/>
          <w:b/>
          <w:color w:val="auto"/>
          <w:sz w:val="40"/>
          <w:szCs w:val="56"/>
          <w:lang w:val="ka-GE"/>
        </w:rPr>
        <w:t xml:space="preserve">ტენდერი სასმელი წყლის </w:t>
      </w:r>
      <w:r w:rsidR="00E252EE">
        <w:rPr>
          <w:rFonts w:cs="Arial"/>
          <w:b/>
          <w:color w:val="auto"/>
          <w:sz w:val="40"/>
          <w:szCs w:val="56"/>
        </w:rPr>
        <w:t xml:space="preserve">(19 </w:t>
      </w:r>
      <w:r w:rsidR="00E252EE">
        <w:rPr>
          <w:rFonts w:cs="Arial"/>
          <w:b/>
          <w:color w:val="auto"/>
          <w:sz w:val="40"/>
          <w:szCs w:val="56"/>
          <w:lang w:val="ka-GE"/>
        </w:rPr>
        <w:t>ლიტრიანი ბალონებით)</w:t>
      </w:r>
    </w:p>
    <w:p w14:paraId="0BC96D15" w14:textId="5F53EBB8" w:rsidR="008134F9" w:rsidRPr="0095114F" w:rsidRDefault="00B100E4" w:rsidP="008134F9">
      <w:pPr>
        <w:jc w:val="center"/>
        <w:rPr>
          <w:b/>
          <w:color w:val="E36C0A" w:themeColor="accent6" w:themeShade="BF"/>
          <w:sz w:val="44"/>
          <w:szCs w:val="56"/>
          <w:lang w:val="ka-GE"/>
        </w:rPr>
      </w:pPr>
      <w:bookmarkStart w:id="2" w:name="_GoBack"/>
      <w:bookmarkEnd w:id="2"/>
      <w:r w:rsidRPr="00B100E4">
        <w:rPr>
          <w:rFonts w:cs="Arial"/>
          <w:b/>
          <w:color w:val="auto"/>
          <w:sz w:val="40"/>
          <w:szCs w:val="56"/>
          <w:lang w:val="ka-GE"/>
        </w:rPr>
        <w:t>შესყიდვა/მომსახურებაზე</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CC0BBC">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CC0BBC">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CC0BBC">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CC0BBC">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0FDA0789" w14:textId="77777777" w:rsidR="00B100E4" w:rsidRDefault="00B100E4" w:rsidP="00D1450D">
      <w:pPr>
        <w:rPr>
          <w:rFonts w:eastAsiaTheme="minorEastAsia" w:cs="Sylfaen"/>
          <w:lang w:val="ka-GE" w:eastAsia="ja-JP"/>
        </w:rPr>
      </w:pPr>
    </w:p>
    <w:p w14:paraId="52D0C6CB" w14:textId="77777777" w:rsidR="00B100E4" w:rsidRDefault="00B100E4" w:rsidP="00B100E4">
      <w:pPr>
        <w:rPr>
          <w:lang w:val="ka-GE"/>
        </w:rPr>
      </w:pPr>
      <w:r w:rsidRPr="00D830D3">
        <w:rPr>
          <w:b/>
          <w:color w:val="E36C0A" w:themeColor="accent6" w:themeShade="BF"/>
          <w:lang w:val="ka-GE"/>
        </w:rPr>
        <w:t>სს საქართველოს ბანკი</w:t>
      </w:r>
      <w:r w:rsidRPr="00D830D3">
        <w:rPr>
          <w:color w:val="E36C0A" w:themeColor="accent6" w:themeShade="BF"/>
          <w:lang w:val="ka-GE"/>
        </w:rPr>
        <w:t xml:space="preserve"> </w:t>
      </w:r>
      <w:r w:rsidRPr="007732B6">
        <w:rPr>
          <w:lang w:val="ka-GE"/>
        </w:rPr>
        <w:t xml:space="preserve">აცხადებს ტენდერს </w:t>
      </w:r>
      <w:r>
        <w:rPr>
          <w:lang w:val="ka-GE"/>
        </w:rPr>
        <w:t>სასმელი წყლის შესყიდვა, მომსახურებაზე</w:t>
      </w:r>
      <w:r w:rsidRPr="007732B6">
        <w:rPr>
          <w:lang w:val="ka-GE"/>
        </w:rPr>
        <w:t xml:space="preserve"> </w:t>
      </w:r>
      <w:r>
        <w:rPr>
          <w:lang w:val="ka-GE"/>
        </w:rPr>
        <w:t>თბილისსა და რეგიონებში:</w:t>
      </w:r>
    </w:p>
    <w:p w14:paraId="475B3CDD" w14:textId="77777777" w:rsidR="00B100E4" w:rsidRPr="00EE60FD" w:rsidRDefault="00B100E4" w:rsidP="00B100E4">
      <w:pPr>
        <w:rPr>
          <w:b/>
          <w:sz w:val="16"/>
          <w:szCs w:val="16"/>
          <w:lang w:val="ka-GE"/>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070"/>
        <w:gridCol w:w="990"/>
        <w:gridCol w:w="3870"/>
        <w:gridCol w:w="1800"/>
        <w:gridCol w:w="1080"/>
      </w:tblGrid>
      <w:tr w:rsidR="00B100E4" w:rsidRPr="00B100E4" w14:paraId="39F3C1E6" w14:textId="77777777" w:rsidTr="00B100E4">
        <w:trPr>
          <w:trHeight w:val="47"/>
        </w:trPr>
        <w:tc>
          <w:tcPr>
            <w:tcW w:w="270" w:type="dxa"/>
            <w:shd w:val="clear" w:color="auto" w:fill="E36C0A" w:themeFill="accent6" w:themeFillShade="BF"/>
          </w:tcPr>
          <w:p w14:paraId="123AC5DA" w14:textId="77777777" w:rsidR="00B100E4" w:rsidRPr="00B100E4" w:rsidRDefault="00B100E4" w:rsidP="005D4D8E">
            <w:pPr>
              <w:spacing w:after="120"/>
              <w:rPr>
                <w:rFonts w:cs="Sylfaen"/>
                <w:color w:val="000000"/>
                <w:szCs w:val="22"/>
                <w:lang w:val="ka-GE"/>
              </w:rPr>
            </w:pPr>
            <w:r w:rsidRPr="00B100E4">
              <w:rPr>
                <w:rFonts w:cs="Sylfaen"/>
                <w:color w:val="000000"/>
                <w:szCs w:val="22"/>
                <w:lang w:val="ka-GE"/>
              </w:rPr>
              <w:t>#</w:t>
            </w:r>
          </w:p>
        </w:tc>
        <w:tc>
          <w:tcPr>
            <w:tcW w:w="2070" w:type="dxa"/>
            <w:shd w:val="clear" w:color="auto" w:fill="E36C0A" w:themeFill="accent6" w:themeFillShade="BF"/>
            <w:noWrap/>
            <w:vAlign w:val="center"/>
            <w:hideMark/>
          </w:tcPr>
          <w:p w14:paraId="73C4EE52" w14:textId="77777777" w:rsidR="00B100E4" w:rsidRPr="00B100E4" w:rsidRDefault="00B100E4" w:rsidP="005D4D8E">
            <w:pPr>
              <w:spacing w:after="120"/>
              <w:rPr>
                <w:rFonts w:cs="Calibri"/>
                <w:color w:val="000000"/>
                <w:szCs w:val="22"/>
                <w:lang w:val="ka-GE"/>
              </w:rPr>
            </w:pPr>
            <w:r w:rsidRPr="00B100E4">
              <w:rPr>
                <w:rFonts w:cs="Calibri"/>
                <w:color w:val="000000"/>
                <w:szCs w:val="22"/>
                <w:lang w:val="ka-GE"/>
              </w:rPr>
              <w:t>დასახელება</w:t>
            </w:r>
          </w:p>
        </w:tc>
        <w:tc>
          <w:tcPr>
            <w:tcW w:w="990" w:type="dxa"/>
            <w:shd w:val="clear" w:color="auto" w:fill="E36C0A" w:themeFill="accent6" w:themeFillShade="BF"/>
            <w:vAlign w:val="center"/>
          </w:tcPr>
          <w:p w14:paraId="64F7AD7B" w14:textId="77777777" w:rsidR="00B100E4" w:rsidRPr="00B100E4" w:rsidRDefault="00B100E4" w:rsidP="005D4D8E">
            <w:pPr>
              <w:spacing w:after="120"/>
              <w:jc w:val="center"/>
              <w:rPr>
                <w:rFonts w:ascii="Calibri" w:hAnsi="Calibri" w:cs="Calibri"/>
                <w:color w:val="000000"/>
                <w:szCs w:val="22"/>
                <w:lang w:val="ka-GE"/>
              </w:rPr>
            </w:pPr>
            <w:r w:rsidRPr="00B100E4">
              <w:rPr>
                <w:rFonts w:cs="Sylfaen"/>
                <w:color w:val="000000"/>
                <w:szCs w:val="22"/>
                <w:lang w:val="ka-GE"/>
              </w:rPr>
              <w:t>აღწერა</w:t>
            </w:r>
          </w:p>
        </w:tc>
        <w:tc>
          <w:tcPr>
            <w:tcW w:w="3870" w:type="dxa"/>
            <w:shd w:val="clear" w:color="auto" w:fill="E36C0A" w:themeFill="accent6" w:themeFillShade="BF"/>
          </w:tcPr>
          <w:p w14:paraId="53AAA64F" w14:textId="023A231E" w:rsidR="00B100E4" w:rsidRPr="00B100E4" w:rsidRDefault="00B100E4" w:rsidP="00B100E4">
            <w:pPr>
              <w:spacing w:after="120"/>
              <w:jc w:val="center"/>
              <w:rPr>
                <w:rFonts w:cs="Sylfaen"/>
                <w:color w:val="000000"/>
                <w:szCs w:val="22"/>
                <w:lang w:val="ka-GE"/>
              </w:rPr>
            </w:pPr>
            <w:r w:rsidRPr="00B100E4">
              <w:rPr>
                <w:rFonts w:cs="Sylfaen"/>
                <w:color w:val="000000"/>
                <w:szCs w:val="22"/>
                <w:lang w:val="ka-GE"/>
              </w:rPr>
              <w:t>სავარაუდო წლიური შესასყიდი</w:t>
            </w:r>
            <w:r>
              <w:rPr>
                <w:rFonts w:cs="Sylfaen"/>
                <w:color w:val="000000"/>
                <w:szCs w:val="22"/>
                <w:lang w:val="ka-GE"/>
              </w:rPr>
              <w:t xml:space="preserve"> </w:t>
            </w:r>
            <w:r w:rsidRPr="00B100E4">
              <w:rPr>
                <w:rFonts w:cs="Sylfaen"/>
                <w:color w:val="000000"/>
                <w:szCs w:val="22"/>
                <w:lang w:val="ka-GE"/>
              </w:rPr>
              <w:t>რაოდენობა*</w:t>
            </w:r>
          </w:p>
        </w:tc>
        <w:tc>
          <w:tcPr>
            <w:tcW w:w="1800" w:type="dxa"/>
            <w:shd w:val="clear" w:color="auto" w:fill="E36C0A" w:themeFill="accent6" w:themeFillShade="BF"/>
          </w:tcPr>
          <w:p w14:paraId="54BB097A" w14:textId="77777777" w:rsidR="00B100E4" w:rsidRPr="00B100E4" w:rsidRDefault="00B100E4" w:rsidP="005D4D8E">
            <w:pPr>
              <w:spacing w:after="120"/>
              <w:jc w:val="center"/>
              <w:rPr>
                <w:rFonts w:cs="Sylfaen"/>
                <w:color w:val="000000"/>
                <w:szCs w:val="22"/>
                <w:lang w:val="ka-GE"/>
              </w:rPr>
            </w:pPr>
            <w:r w:rsidRPr="00B100E4">
              <w:rPr>
                <w:rFonts w:cs="Sylfaen"/>
                <w:color w:val="000000"/>
                <w:szCs w:val="22"/>
                <w:lang w:val="ka-GE"/>
              </w:rPr>
              <w:t>ერთეულის</w:t>
            </w:r>
          </w:p>
          <w:p w14:paraId="266772ED" w14:textId="77777777" w:rsidR="00B100E4" w:rsidRPr="00B100E4" w:rsidRDefault="00B100E4" w:rsidP="005D4D8E">
            <w:pPr>
              <w:spacing w:after="120"/>
              <w:jc w:val="center"/>
              <w:rPr>
                <w:rFonts w:cs="Sylfaen"/>
                <w:color w:val="000000"/>
                <w:szCs w:val="22"/>
                <w:lang w:val="ka-GE"/>
              </w:rPr>
            </w:pPr>
            <w:r w:rsidRPr="00B100E4">
              <w:rPr>
                <w:rFonts w:cs="Sylfaen"/>
                <w:color w:val="000000"/>
                <w:szCs w:val="22"/>
                <w:lang w:val="ka-GE"/>
              </w:rPr>
              <w:t>ფასი**</w:t>
            </w:r>
          </w:p>
        </w:tc>
        <w:tc>
          <w:tcPr>
            <w:tcW w:w="1080" w:type="dxa"/>
            <w:shd w:val="clear" w:color="auto" w:fill="E36C0A" w:themeFill="accent6" w:themeFillShade="BF"/>
          </w:tcPr>
          <w:p w14:paraId="69B0AD43" w14:textId="77777777" w:rsidR="00B100E4" w:rsidRPr="00B100E4" w:rsidRDefault="00B100E4" w:rsidP="005D4D8E">
            <w:pPr>
              <w:spacing w:after="120"/>
              <w:jc w:val="center"/>
              <w:rPr>
                <w:rFonts w:cs="Sylfaen"/>
                <w:color w:val="000000"/>
                <w:szCs w:val="22"/>
                <w:lang w:val="ka-GE"/>
              </w:rPr>
            </w:pPr>
            <w:r w:rsidRPr="00B100E4">
              <w:rPr>
                <w:rFonts w:cs="Sylfaen"/>
                <w:color w:val="000000"/>
                <w:szCs w:val="22"/>
                <w:lang w:val="ka-GE"/>
              </w:rPr>
              <w:t>ჯამი</w:t>
            </w:r>
          </w:p>
        </w:tc>
      </w:tr>
      <w:tr w:rsidR="00B100E4" w:rsidRPr="00B100E4" w14:paraId="4377C28A" w14:textId="77777777" w:rsidTr="00B100E4">
        <w:trPr>
          <w:trHeight w:val="47"/>
        </w:trPr>
        <w:tc>
          <w:tcPr>
            <w:tcW w:w="270" w:type="dxa"/>
            <w:tcBorders>
              <w:bottom w:val="single" w:sz="4" w:space="0" w:color="auto"/>
            </w:tcBorders>
          </w:tcPr>
          <w:p w14:paraId="5762773C" w14:textId="77777777" w:rsidR="00B100E4" w:rsidRPr="00B100E4" w:rsidRDefault="00B100E4" w:rsidP="005D4D8E">
            <w:pPr>
              <w:spacing w:after="120"/>
              <w:jc w:val="center"/>
              <w:rPr>
                <w:rFonts w:cs="Calibri"/>
                <w:color w:val="000000"/>
                <w:szCs w:val="22"/>
                <w:lang w:val="ka-GE"/>
              </w:rPr>
            </w:pPr>
            <w:r w:rsidRPr="00B100E4">
              <w:rPr>
                <w:rFonts w:cs="Calibri"/>
                <w:color w:val="000000"/>
                <w:szCs w:val="22"/>
                <w:lang w:val="ka-GE"/>
              </w:rPr>
              <w:t>1</w:t>
            </w:r>
          </w:p>
        </w:tc>
        <w:tc>
          <w:tcPr>
            <w:tcW w:w="2070" w:type="dxa"/>
            <w:tcBorders>
              <w:bottom w:val="single" w:sz="4" w:space="0" w:color="auto"/>
            </w:tcBorders>
            <w:shd w:val="clear" w:color="auto" w:fill="auto"/>
            <w:hideMark/>
          </w:tcPr>
          <w:p w14:paraId="77851B1A" w14:textId="77777777" w:rsidR="00B100E4" w:rsidRPr="00B100E4" w:rsidRDefault="00B100E4" w:rsidP="005D4D8E">
            <w:pPr>
              <w:spacing w:after="120"/>
              <w:rPr>
                <w:rFonts w:cs="Calibri"/>
                <w:color w:val="000000"/>
                <w:szCs w:val="22"/>
                <w:lang w:val="ka-GE"/>
              </w:rPr>
            </w:pPr>
            <w:r w:rsidRPr="00B100E4">
              <w:rPr>
                <w:rFonts w:cs="Calibri"/>
                <w:color w:val="000000"/>
                <w:szCs w:val="22"/>
                <w:lang w:val="ka-GE"/>
              </w:rPr>
              <w:t>ბალონი</w:t>
            </w:r>
          </w:p>
        </w:tc>
        <w:tc>
          <w:tcPr>
            <w:tcW w:w="990" w:type="dxa"/>
            <w:tcBorders>
              <w:bottom w:val="single" w:sz="4" w:space="0" w:color="auto"/>
            </w:tcBorders>
            <w:vAlign w:val="center"/>
          </w:tcPr>
          <w:p w14:paraId="486D9A46" w14:textId="77777777" w:rsidR="00B100E4" w:rsidRPr="00B100E4" w:rsidRDefault="00B100E4" w:rsidP="005D4D8E">
            <w:pPr>
              <w:spacing w:after="120"/>
              <w:jc w:val="center"/>
              <w:rPr>
                <w:rFonts w:cs="Calibri"/>
                <w:color w:val="000000"/>
                <w:szCs w:val="22"/>
              </w:rPr>
            </w:pPr>
            <w:r w:rsidRPr="00B100E4">
              <w:rPr>
                <w:rFonts w:cs="Calibri"/>
                <w:color w:val="000000"/>
                <w:szCs w:val="22"/>
              </w:rPr>
              <w:t> </w:t>
            </w:r>
            <w:r w:rsidRPr="00B100E4">
              <w:rPr>
                <w:rFonts w:cs="Calibri"/>
                <w:color w:val="000000"/>
                <w:szCs w:val="22"/>
                <w:lang w:val="ka-GE"/>
              </w:rPr>
              <w:t>19 ლ.</w:t>
            </w:r>
          </w:p>
        </w:tc>
        <w:tc>
          <w:tcPr>
            <w:tcW w:w="3870" w:type="dxa"/>
            <w:tcBorders>
              <w:bottom w:val="single" w:sz="4" w:space="0" w:color="auto"/>
            </w:tcBorders>
          </w:tcPr>
          <w:p w14:paraId="2FC44393" w14:textId="3C85A96F" w:rsidR="00B100E4" w:rsidRPr="00B100E4" w:rsidRDefault="00F13ABB" w:rsidP="008E3EF2">
            <w:pPr>
              <w:spacing w:after="120"/>
              <w:jc w:val="center"/>
              <w:rPr>
                <w:rFonts w:cs="Calibri"/>
                <w:color w:val="000000"/>
                <w:szCs w:val="22"/>
                <w:lang w:val="ka-GE"/>
              </w:rPr>
            </w:pPr>
            <w:r>
              <w:rPr>
                <w:rFonts w:cs="Calibri"/>
                <w:color w:val="000000"/>
                <w:szCs w:val="22"/>
                <w:lang w:val="ka-GE"/>
              </w:rPr>
              <w:t>35</w:t>
            </w:r>
            <w:r w:rsidR="00B100E4" w:rsidRPr="00B100E4">
              <w:rPr>
                <w:rFonts w:cs="Calibri"/>
                <w:color w:val="000000"/>
                <w:szCs w:val="22"/>
                <w:lang w:val="ka-GE"/>
              </w:rPr>
              <w:t>’000 ცალი</w:t>
            </w:r>
          </w:p>
        </w:tc>
        <w:tc>
          <w:tcPr>
            <w:tcW w:w="1800" w:type="dxa"/>
          </w:tcPr>
          <w:p w14:paraId="17613792" w14:textId="77777777" w:rsidR="00B100E4" w:rsidRPr="00B100E4" w:rsidRDefault="00B100E4" w:rsidP="005D4D8E">
            <w:pPr>
              <w:spacing w:after="120"/>
              <w:jc w:val="center"/>
              <w:rPr>
                <w:rFonts w:cs="Calibri"/>
                <w:color w:val="000000"/>
                <w:szCs w:val="22"/>
                <w:lang w:val="ka-GE"/>
              </w:rPr>
            </w:pPr>
          </w:p>
        </w:tc>
        <w:tc>
          <w:tcPr>
            <w:tcW w:w="1080" w:type="dxa"/>
          </w:tcPr>
          <w:p w14:paraId="079D955D" w14:textId="77777777" w:rsidR="00B100E4" w:rsidRPr="00B100E4" w:rsidRDefault="00B100E4" w:rsidP="005D4D8E">
            <w:pPr>
              <w:spacing w:after="120"/>
              <w:jc w:val="center"/>
              <w:rPr>
                <w:rFonts w:cs="Calibri"/>
                <w:color w:val="000000"/>
                <w:szCs w:val="22"/>
                <w:lang w:val="ka-GE"/>
              </w:rPr>
            </w:pPr>
          </w:p>
        </w:tc>
      </w:tr>
      <w:tr w:rsidR="00B100E4" w:rsidRPr="00B100E4" w14:paraId="766B6AAB" w14:textId="77777777" w:rsidTr="00B100E4">
        <w:trPr>
          <w:trHeight w:val="47"/>
        </w:trPr>
        <w:tc>
          <w:tcPr>
            <w:tcW w:w="270" w:type="dxa"/>
            <w:tcBorders>
              <w:bottom w:val="single" w:sz="4" w:space="0" w:color="auto"/>
            </w:tcBorders>
          </w:tcPr>
          <w:p w14:paraId="646EF2FC" w14:textId="77777777" w:rsidR="00B100E4" w:rsidRPr="00B100E4" w:rsidRDefault="00B100E4" w:rsidP="005D4D8E">
            <w:pPr>
              <w:spacing w:after="120"/>
              <w:jc w:val="center"/>
              <w:rPr>
                <w:rFonts w:cs="Calibri"/>
                <w:color w:val="000000"/>
                <w:szCs w:val="22"/>
                <w:lang w:val="ka-GE"/>
              </w:rPr>
            </w:pPr>
            <w:r w:rsidRPr="00B100E4">
              <w:rPr>
                <w:rFonts w:cs="Calibri"/>
                <w:color w:val="000000"/>
                <w:szCs w:val="22"/>
                <w:lang w:val="ka-GE"/>
              </w:rPr>
              <w:t>2</w:t>
            </w:r>
          </w:p>
        </w:tc>
        <w:tc>
          <w:tcPr>
            <w:tcW w:w="2070" w:type="dxa"/>
            <w:tcBorders>
              <w:bottom w:val="single" w:sz="4" w:space="0" w:color="auto"/>
            </w:tcBorders>
            <w:shd w:val="clear" w:color="auto" w:fill="auto"/>
          </w:tcPr>
          <w:p w14:paraId="0F6C98FF" w14:textId="77777777" w:rsidR="00B100E4" w:rsidRPr="00B100E4" w:rsidRDefault="00B100E4" w:rsidP="005D4D8E">
            <w:pPr>
              <w:spacing w:after="120"/>
              <w:rPr>
                <w:rFonts w:cs="Calibri"/>
                <w:color w:val="000000"/>
                <w:szCs w:val="22"/>
                <w:lang w:val="ka-GE"/>
              </w:rPr>
            </w:pPr>
            <w:r w:rsidRPr="00B100E4">
              <w:rPr>
                <w:rFonts w:cs="Calibri"/>
                <w:color w:val="000000"/>
                <w:szCs w:val="22"/>
                <w:lang w:val="ka-GE"/>
              </w:rPr>
              <w:t>ერთჯერადი ჭიქა</w:t>
            </w:r>
          </w:p>
        </w:tc>
        <w:tc>
          <w:tcPr>
            <w:tcW w:w="990" w:type="dxa"/>
            <w:tcBorders>
              <w:bottom w:val="single" w:sz="4" w:space="0" w:color="auto"/>
            </w:tcBorders>
            <w:vAlign w:val="center"/>
          </w:tcPr>
          <w:p w14:paraId="5436343F" w14:textId="77777777" w:rsidR="00B100E4" w:rsidRPr="00B100E4" w:rsidRDefault="00B100E4" w:rsidP="005D4D8E">
            <w:pPr>
              <w:spacing w:after="120"/>
              <w:jc w:val="center"/>
              <w:rPr>
                <w:rFonts w:cs="Calibri"/>
                <w:color w:val="000000"/>
                <w:szCs w:val="22"/>
                <w:lang w:val="ka-GE"/>
              </w:rPr>
            </w:pPr>
            <w:r w:rsidRPr="00B100E4">
              <w:rPr>
                <w:rFonts w:cs="Calibri"/>
                <w:color w:val="000000"/>
                <w:szCs w:val="22"/>
                <w:lang w:val="ka-GE"/>
              </w:rPr>
              <w:t>100 ც.</w:t>
            </w:r>
          </w:p>
        </w:tc>
        <w:tc>
          <w:tcPr>
            <w:tcW w:w="3870" w:type="dxa"/>
            <w:tcBorders>
              <w:bottom w:val="single" w:sz="4" w:space="0" w:color="auto"/>
            </w:tcBorders>
          </w:tcPr>
          <w:p w14:paraId="3E7F24E9" w14:textId="6AAF1553" w:rsidR="00B100E4" w:rsidRPr="00B100E4" w:rsidRDefault="00F13ABB" w:rsidP="008E3EF2">
            <w:pPr>
              <w:spacing w:after="120"/>
              <w:jc w:val="center"/>
              <w:rPr>
                <w:rFonts w:cs="Calibri"/>
                <w:color w:val="000000"/>
                <w:szCs w:val="22"/>
                <w:lang w:val="ka-GE"/>
              </w:rPr>
            </w:pPr>
            <w:r>
              <w:rPr>
                <w:rFonts w:cs="Calibri"/>
                <w:color w:val="000000"/>
                <w:szCs w:val="22"/>
                <w:lang w:val="ka-GE"/>
              </w:rPr>
              <w:t>70</w:t>
            </w:r>
            <w:r w:rsidR="00B100E4" w:rsidRPr="00B100E4">
              <w:rPr>
                <w:rFonts w:cs="Calibri"/>
                <w:color w:val="000000"/>
                <w:szCs w:val="22"/>
                <w:lang w:val="ka-GE"/>
              </w:rPr>
              <w:t>’000 შეკვრა</w:t>
            </w:r>
          </w:p>
        </w:tc>
        <w:tc>
          <w:tcPr>
            <w:tcW w:w="1800" w:type="dxa"/>
            <w:tcBorders>
              <w:bottom w:val="single" w:sz="4" w:space="0" w:color="auto"/>
            </w:tcBorders>
          </w:tcPr>
          <w:p w14:paraId="2EB7D82F" w14:textId="77777777" w:rsidR="00B100E4" w:rsidRPr="00B100E4" w:rsidRDefault="00B100E4" w:rsidP="005D4D8E">
            <w:pPr>
              <w:spacing w:after="120"/>
              <w:jc w:val="center"/>
              <w:rPr>
                <w:rFonts w:cs="Calibri"/>
                <w:color w:val="000000"/>
                <w:szCs w:val="22"/>
                <w:lang w:val="ka-GE"/>
              </w:rPr>
            </w:pPr>
          </w:p>
        </w:tc>
        <w:tc>
          <w:tcPr>
            <w:tcW w:w="1080" w:type="dxa"/>
          </w:tcPr>
          <w:p w14:paraId="5DED5F3C" w14:textId="77777777" w:rsidR="00B100E4" w:rsidRPr="00B100E4" w:rsidRDefault="00B100E4" w:rsidP="005D4D8E">
            <w:pPr>
              <w:spacing w:after="120"/>
              <w:jc w:val="center"/>
              <w:rPr>
                <w:rFonts w:cs="Calibri"/>
                <w:color w:val="000000"/>
                <w:szCs w:val="22"/>
                <w:lang w:val="ka-GE"/>
              </w:rPr>
            </w:pPr>
          </w:p>
        </w:tc>
      </w:tr>
      <w:tr w:rsidR="00B100E4" w:rsidRPr="00B100E4" w14:paraId="5D517752" w14:textId="77777777" w:rsidTr="00B100E4">
        <w:trPr>
          <w:trHeight w:val="47"/>
        </w:trPr>
        <w:tc>
          <w:tcPr>
            <w:tcW w:w="270" w:type="dxa"/>
            <w:tcBorders>
              <w:top w:val="single" w:sz="4" w:space="0" w:color="auto"/>
              <w:left w:val="nil"/>
              <w:bottom w:val="nil"/>
              <w:right w:val="nil"/>
            </w:tcBorders>
          </w:tcPr>
          <w:p w14:paraId="11E81537" w14:textId="77777777" w:rsidR="00B100E4" w:rsidRPr="00B100E4" w:rsidRDefault="00B100E4" w:rsidP="005D4D8E">
            <w:pPr>
              <w:spacing w:after="120"/>
              <w:jc w:val="center"/>
              <w:rPr>
                <w:rFonts w:cs="Calibri"/>
                <w:color w:val="000000"/>
                <w:szCs w:val="22"/>
                <w:lang w:val="ka-GE"/>
              </w:rPr>
            </w:pPr>
          </w:p>
        </w:tc>
        <w:tc>
          <w:tcPr>
            <w:tcW w:w="2070" w:type="dxa"/>
            <w:tcBorders>
              <w:top w:val="single" w:sz="4" w:space="0" w:color="auto"/>
              <w:left w:val="nil"/>
              <w:bottom w:val="nil"/>
              <w:right w:val="nil"/>
            </w:tcBorders>
            <w:shd w:val="clear" w:color="auto" w:fill="auto"/>
          </w:tcPr>
          <w:p w14:paraId="0F829276" w14:textId="77777777" w:rsidR="00B100E4" w:rsidRPr="00B100E4" w:rsidRDefault="00B100E4" w:rsidP="005D4D8E">
            <w:pPr>
              <w:spacing w:after="120"/>
              <w:rPr>
                <w:rFonts w:cs="Calibri"/>
                <w:color w:val="000000"/>
                <w:szCs w:val="22"/>
                <w:lang w:val="ka-GE"/>
              </w:rPr>
            </w:pPr>
          </w:p>
        </w:tc>
        <w:tc>
          <w:tcPr>
            <w:tcW w:w="990" w:type="dxa"/>
            <w:tcBorders>
              <w:top w:val="single" w:sz="4" w:space="0" w:color="auto"/>
              <w:left w:val="nil"/>
              <w:bottom w:val="nil"/>
              <w:right w:val="nil"/>
            </w:tcBorders>
            <w:vAlign w:val="center"/>
          </w:tcPr>
          <w:p w14:paraId="1F39642E" w14:textId="77777777" w:rsidR="00B100E4" w:rsidRPr="00B100E4" w:rsidRDefault="00B100E4" w:rsidP="005D4D8E">
            <w:pPr>
              <w:spacing w:after="120"/>
              <w:jc w:val="center"/>
              <w:rPr>
                <w:rFonts w:cs="Calibri"/>
                <w:color w:val="000000"/>
                <w:szCs w:val="22"/>
                <w:lang w:val="ka-GE"/>
              </w:rPr>
            </w:pPr>
          </w:p>
        </w:tc>
        <w:tc>
          <w:tcPr>
            <w:tcW w:w="3870" w:type="dxa"/>
            <w:tcBorders>
              <w:top w:val="single" w:sz="4" w:space="0" w:color="auto"/>
              <w:left w:val="nil"/>
              <w:bottom w:val="nil"/>
              <w:right w:val="single" w:sz="4" w:space="0" w:color="auto"/>
            </w:tcBorders>
          </w:tcPr>
          <w:p w14:paraId="77C4EBBC" w14:textId="77777777" w:rsidR="00B100E4" w:rsidRPr="00B100E4" w:rsidRDefault="00B100E4" w:rsidP="005D4D8E">
            <w:pPr>
              <w:spacing w:after="120"/>
              <w:jc w:val="center"/>
              <w:rPr>
                <w:rFonts w:cs="Calibri"/>
                <w:color w:val="000000"/>
                <w:szCs w:val="22"/>
                <w:lang w:val="ka-GE"/>
              </w:rPr>
            </w:pPr>
          </w:p>
        </w:tc>
        <w:tc>
          <w:tcPr>
            <w:tcW w:w="1800" w:type="dxa"/>
            <w:tcBorders>
              <w:left w:val="single" w:sz="4" w:space="0" w:color="auto"/>
            </w:tcBorders>
            <w:shd w:val="clear" w:color="auto" w:fill="E36C0A" w:themeFill="accent6" w:themeFillShade="BF"/>
          </w:tcPr>
          <w:p w14:paraId="58947FE2" w14:textId="77777777" w:rsidR="00B100E4" w:rsidRPr="00B100E4" w:rsidRDefault="00B100E4" w:rsidP="005D4D8E">
            <w:pPr>
              <w:spacing w:after="120"/>
              <w:jc w:val="center"/>
              <w:rPr>
                <w:rFonts w:cs="Calibri"/>
                <w:color w:val="000000"/>
                <w:szCs w:val="22"/>
                <w:lang w:val="ka-GE"/>
              </w:rPr>
            </w:pPr>
            <w:r w:rsidRPr="00B100E4">
              <w:rPr>
                <w:rFonts w:cs="Calibri"/>
                <w:color w:val="000000"/>
                <w:szCs w:val="22"/>
                <w:lang w:val="ka-GE"/>
              </w:rPr>
              <w:t>სულ ფასი:</w:t>
            </w:r>
          </w:p>
        </w:tc>
        <w:tc>
          <w:tcPr>
            <w:tcW w:w="1080" w:type="dxa"/>
            <w:shd w:val="clear" w:color="auto" w:fill="E36C0A" w:themeFill="accent6" w:themeFillShade="BF"/>
          </w:tcPr>
          <w:p w14:paraId="53FAF337" w14:textId="77777777" w:rsidR="00B100E4" w:rsidRPr="00B100E4" w:rsidRDefault="00B100E4" w:rsidP="005D4D8E">
            <w:pPr>
              <w:spacing w:after="120"/>
              <w:jc w:val="center"/>
              <w:rPr>
                <w:rFonts w:cs="Calibri"/>
                <w:color w:val="000000"/>
                <w:szCs w:val="22"/>
                <w:lang w:val="ka-GE"/>
              </w:rPr>
            </w:pPr>
          </w:p>
        </w:tc>
      </w:tr>
    </w:tbl>
    <w:p w14:paraId="195B65AD" w14:textId="77777777" w:rsidR="00B100E4" w:rsidRDefault="00B100E4" w:rsidP="00B100E4">
      <w:pPr>
        <w:ind w:right="-720"/>
        <w:rPr>
          <w:b/>
          <w:sz w:val="16"/>
          <w:szCs w:val="16"/>
          <w:lang w:val="ka-GE"/>
        </w:rPr>
      </w:pPr>
    </w:p>
    <w:p w14:paraId="62584C00" w14:textId="77777777" w:rsidR="00B100E4" w:rsidRPr="00EE60FD" w:rsidRDefault="00B100E4" w:rsidP="00B100E4">
      <w:pPr>
        <w:ind w:right="-720"/>
        <w:rPr>
          <w:b/>
          <w:sz w:val="16"/>
          <w:szCs w:val="16"/>
          <w:lang w:val="ka-GE"/>
        </w:rPr>
      </w:pPr>
    </w:p>
    <w:p w14:paraId="70689801" w14:textId="54ABA5FA" w:rsidR="00B100E4" w:rsidRDefault="00B100E4" w:rsidP="00B100E4">
      <w:pPr>
        <w:rPr>
          <w:rFonts w:cs="Sylfaen"/>
          <w:b/>
          <w:sz w:val="18"/>
          <w:szCs w:val="18"/>
          <w:u w:val="single"/>
          <w:lang w:val="ka-GE"/>
        </w:rPr>
      </w:pPr>
      <w:r w:rsidRPr="00EE60FD">
        <w:rPr>
          <w:rFonts w:cs="Sylfaen"/>
          <w:b/>
          <w:sz w:val="18"/>
          <w:szCs w:val="18"/>
          <w:u w:val="single"/>
          <w:lang w:val="ka-GE"/>
        </w:rPr>
        <w:t>შენიშვნა</w:t>
      </w:r>
      <w:r w:rsidR="007D58E0">
        <w:rPr>
          <w:rFonts w:cs="Sylfaen"/>
          <w:b/>
          <w:sz w:val="18"/>
          <w:szCs w:val="18"/>
          <w:u w:val="single"/>
          <w:lang w:val="ka-GE"/>
        </w:rPr>
        <w:t xml:space="preserve"> 1</w:t>
      </w:r>
      <w:r w:rsidRPr="00EE60FD">
        <w:rPr>
          <w:rFonts w:cs="Sylfaen"/>
          <w:b/>
          <w:sz w:val="18"/>
          <w:szCs w:val="18"/>
          <w:u w:val="single"/>
          <w:lang w:val="ka-GE"/>
        </w:rPr>
        <w:t>:</w:t>
      </w:r>
      <w:r w:rsidRPr="00EE60FD">
        <w:rPr>
          <w:rFonts w:cs="Sylfaen"/>
          <w:b/>
          <w:sz w:val="18"/>
          <w:szCs w:val="18"/>
          <w:u w:val="single"/>
        </w:rPr>
        <w:t xml:space="preserve"> </w:t>
      </w:r>
    </w:p>
    <w:p w14:paraId="779C4FCD" w14:textId="77777777" w:rsidR="00B100E4" w:rsidRDefault="00B100E4" w:rsidP="00B100E4">
      <w:pPr>
        <w:rPr>
          <w:rFonts w:cs="Sylfaen"/>
          <w:sz w:val="18"/>
          <w:szCs w:val="18"/>
          <w:lang w:val="ka-GE"/>
        </w:rPr>
      </w:pPr>
    </w:p>
    <w:p w14:paraId="42AE6BD3" w14:textId="77777777" w:rsidR="00B100E4" w:rsidRDefault="00B100E4" w:rsidP="00B100E4">
      <w:pPr>
        <w:rPr>
          <w:rFonts w:cs="Sylfaen"/>
          <w:b/>
          <w:sz w:val="18"/>
          <w:szCs w:val="18"/>
          <w:lang w:val="ka-GE"/>
        </w:rPr>
      </w:pPr>
      <w:r w:rsidRPr="00EE60FD">
        <w:rPr>
          <w:rFonts w:cs="Sylfaen"/>
          <w:sz w:val="18"/>
          <w:szCs w:val="18"/>
          <w:lang w:val="ka-GE"/>
        </w:rPr>
        <w:t xml:space="preserve">*   </w:t>
      </w:r>
      <w:r>
        <w:rPr>
          <w:rFonts w:cs="Sylfaen"/>
          <w:sz w:val="18"/>
          <w:szCs w:val="18"/>
          <w:lang w:val="ka-GE"/>
        </w:rPr>
        <w:t>რაოდენობა შეიძლება შემცირდეს ან გაიზარდოს ბანკის მოთხოვნის შესაბამისად</w:t>
      </w:r>
    </w:p>
    <w:p w14:paraId="386B5D56" w14:textId="77777777" w:rsidR="00B100E4" w:rsidRPr="009C77E1" w:rsidRDefault="00B100E4" w:rsidP="00B100E4">
      <w:pPr>
        <w:rPr>
          <w:rFonts w:cs="Sylfaen"/>
          <w:b/>
          <w:sz w:val="18"/>
          <w:szCs w:val="18"/>
          <w:u w:val="single"/>
          <w:lang w:val="ka-GE"/>
        </w:rPr>
      </w:pPr>
    </w:p>
    <w:p w14:paraId="09E8845D" w14:textId="15468FC1" w:rsidR="00B100E4" w:rsidRPr="00EE60FD" w:rsidRDefault="00B100E4" w:rsidP="00B100E4">
      <w:pPr>
        <w:rPr>
          <w:rFonts w:cs="Sylfaen"/>
          <w:sz w:val="18"/>
          <w:szCs w:val="18"/>
          <w:lang w:val="ka-GE"/>
        </w:rPr>
      </w:pPr>
      <w:r w:rsidRPr="00EE60FD">
        <w:rPr>
          <w:rFonts w:cs="Sylfaen"/>
          <w:sz w:val="18"/>
          <w:szCs w:val="18"/>
          <w:lang w:val="ka-GE"/>
        </w:rPr>
        <w:t>*</w:t>
      </w:r>
      <w:r>
        <w:rPr>
          <w:rFonts w:cs="Sylfaen"/>
          <w:sz w:val="18"/>
          <w:szCs w:val="18"/>
          <w:lang w:val="ka-GE"/>
        </w:rPr>
        <w:t xml:space="preserve">* </w:t>
      </w:r>
      <w:r w:rsidRPr="00EE60FD">
        <w:rPr>
          <w:rFonts w:cs="Sylfaen"/>
          <w:sz w:val="18"/>
          <w:szCs w:val="18"/>
          <w:lang w:val="ka-GE"/>
        </w:rPr>
        <w:t>ცხრილში ფასები უნდა მიეთითოს ეროვნულ ვალუტაში - ლარი;</w:t>
      </w:r>
      <w:r w:rsidRPr="00EE60FD">
        <w:rPr>
          <w:rFonts w:cs="Sylfaen"/>
          <w:sz w:val="18"/>
          <w:szCs w:val="18"/>
        </w:rPr>
        <w:t xml:space="preserve"> </w:t>
      </w:r>
      <w:r>
        <w:rPr>
          <w:rFonts w:cs="Sylfaen"/>
          <w:sz w:val="18"/>
          <w:szCs w:val="18"/>
          <w:lang w:val="ka-GE"/>
        </w:rPr>
        <w:t xml:space="preserve">ფასი უნდა მოიცავდეს ტრანსპორტირებას და </w:t>
      </w:r>
      <w:r w:rsidRPr="00EE60FD">
        <w:rPr>
          <w:rFonts w:cs="Sylfaen"/>
          <w:sz w:val="18"/>
          <w:szCs w:val="18"/>
          <w:lang w:val="ka-GE"/>
        </w:rPr>
        <w:t>საქართველოს კანონმდებლობით დადგენილი ყველა გადასახადის ჩათვლით;</w:t>
      </w:r>
      <w:r>
        <w:rPr>
          <w:rFonts w:cs="Sylfaen"/>
          <w:sz w:val="18"/>
          <w:szCs w:val="18"/>
          <w:lang w:val="ka-GE"/>
        </w:rPr>
        <w:t xml:space="preserve"> </w:t>
      </w:r>
    </w:p>
    <w:p w14:paraId="382A8847" w14:textId="77777777" w:rsidR="00B100E4" w:rsidRDefault="00B100E4" w:rsidP="00B100E4">
      <w:pPr>
        <w:rPr>
          <w:rFonts w:cs="Sylfaen"/>
          <w:b/>
          <w:sz w:val="18"/>
          <w:szCs w:val="18"/>
          <w:lang w:val="ka-GE"/>
        </w:rPr>
      </w:pPr>
    </w:p>
    <w:tbl>
      <w:tblPr>
        <w:tblStyle w:val="TableGrid"/>
        <w:tblW w:w="0" w:type="auto"/>
        <w:tblInd w:w="198" w:type="dxa"/>
        <w:tblLook w:val="04A0" w:firstRow="1" w:lastRow="0" w:firstColumn="1" w:lastColumn="0" w:noHBand="0" w:noVBand="1"/>
      </w:tblPr>
      <w:tblGrid>
        <w:gridCol w:w="4950"/>
        <w:gridCol w:w="1710"/>
      </w:tblGrid>
      <w:tr w:rsidR="00B100E4" w14:paraId="5B41285F" w14:textId="77777777" w:rsidTr="00B100E4">
        <w:tc>
          <w:tcPr>
            <w:tcW w:w="4950" w:type="dxa"/>
          </w:tcPr>
          <w:p w14:paraId="1F5A210B" w14:textId="4E7B645A" w:rsidR="00B100E4" w:rsidRPr="00B100E4" w:rsidRDefault="00B100E4" w:rsidP="00B100E4">
            <w:pPr>
              <w:rPr>
                <w:rFonts w:cs="Sylfaen"/>
                <w:sz w:val="18"/>
                <w:szCs w:val="18"/>
                <w:lang w:val="ka-GE"/>
              </w:rPr>
            </w:pPr>
            <w:r w:rsidRPr="00B100E4">
              <w:rPr>
                <w:rFonts w:cs="Sylfaen"/>
                <w:sz w:val="18"/>
                <w:szCs w:val="18"/>
                <w:lang w:val="ka-GE"/>
              </w:rPr>
              <w:t>ვალუტის კურსის ზედა ზღვარი 1 აშშ დოლარი</w:t>
            </w:r>
            <w:r w:rsidR="00E434F2">
              <w:rPr>
                <w:rFonts w:cs="Sylfaen"/>
                <w:sz w:val="18"/>
                <w:szCs w:val="18"/>
                <w:lang w:val="ka-GE"/>
              </w:rPr>
              <w:t>*</w:t>
            </w:r>
          </w:p>
        </w:tc>
        <w:tc>
          <w:tcPr>
            <w:tcW w:w="1710" w:type="dxa"/>
          </w:tcPr>
          <w:p w14:paraId="5FB26E5F" w14:textId="77777777" w:rsidR="00B100E4" w:rsidRPr="00B100E4" w:rsidRDefault="00B100E4" w:rsidP="00B100E4">
            <w:pPr>
              <w:rPr>
                <w:rFonts w:cs="Sylfaen"/>
                <w:sz w:val="18"/>
                <w:szCs w:val="18"/>
                <w:lang w:val="ka-GE"/>
              </w:rPr>
            </w:pPr>
          </w:p>
        </w:tc>
      </w:tr>
    </w:tbl>
    <w:p w14:paraId="52BAD0E0" w14:textId="77777777" w:rsidR="00B100E4" w:rsidRDefault="00B100E4" w:rsidP="00B100E4">
      <w:pPr>
        <w:rPr>
          <w:rFonts w:cs="Sylfaen"/>
          <w:b/>
          <w:sz w:val="18"/>
          <w:szCs w:val="18"/>
          <w:lang w:val="ka-GE"/>
        </w:rPr>
      </w:pPr>
    </w:p>
    <w:p w14:paraId="584343D6" w14:textId="77777777" w:rsidR="007D58E0" w:rsidRPr="007D58E0" w:rsidRDefault="007D58E0" w:rsidP="00B100E4">
      <w:pPr>
        <w:rPr>
          <w:rFonts w:cs="Sylfaen"/>
          <w:b/>
          <w:sz w:val="18"/>
          <w:szCs w:val="18"/>
          <w:u w:val="single"/>
          <w:lang w:val="ka-GE"/>
        </w:rPr>
      </w:pPr>
      <w:r w:rsidRPr="007D58E0">
        <w:rPr>
          <w:rFonts w:cs="Sylfaen"/>
          <w:b/>
          <w:sz w:val="18"/>
          <w:szCs w:val="18"/>
          <w:u w:val="single"/>
          <w:lang w:val="ka-GE"/>
        </w:rPr>
        <w:t xml:space="preserve">შენიშვნა 2: </w:t>
      </w:r>
    </w:p>
    <w:p w14:paraId="1897348D" w14:textId="77777777" w:rsidR="007D58E0" w:rsidRDefault="007D58E0" w:rsidP="00B100E4">
      <w:pPr>
        <w:rPr>
          <w:rFonts w:cs="Sylfaen"/>
          <w:b/>
          <w:sz w:val="18"/>
          <w:szCs w:val="18"/>
          <w:lang w:val="ka-GE"/>
        </w:rPr>
      </w:pPr>
    </w:p>
    <w:p w14:paraId="580B4960" w14:textId="32D2EE55" w:rsidR="007D58E0" w:rsidRPr="00EE60FD" w:rsidRDefault="007D58E0" w:rsidP="00B100E4">
      <w:pPr>
        <w:rPr>
          <w:rFonts w:cs="Sylfaen"/>
          <w:b/>
          <w:sz w:val="18"/>
          <w:szCs w:val="18"/>
          <w:lang w:val="ka-GE"/>
        </w:rPr>
      </w:pPr>
      <w:r>
        <w:rPr>
          <w:rFonts w:cs="Sylfaen"/>
          <w:sz w:val="18"/>
          <w:szCs w:val="18"/>
          <w:lang w:val="ka-GE"/>
        </w:rPr>
        <w:t>მონაწილე კომპანიამ უნდა</w:t>
      </w:r>
      <w:r w:rsidRPr="007D58E0">
        <w:rPr>
          <w:rFonts w:cs="Sylfaen"/>
          <w:sz w:val="18"/>
          <w:szCs w:val="18"/>
          <w:lang w:val="ka-GE"/>
        </w:rPr>
        <w:t xml:space="preserve"> </w:t>
      </w:r>
      <w:r>
        <w:rPr>
          <w:rFonts w:cs="Sylfaen"/>
          <w:sz w:val="18"/>
          <w:szCs w:val="18"/>
          <w:lang w:val="ka-GE"/>
        </w:rPr>
        <w:t>მიუთითოს</w:t>
      </w:r>
      <w:r w:rsidRPr="007D58E0">
        <w:rPr>
          <w:rFonts w:cs="Sylfaen"/>
          <w:sz w:val="18"/>
          <w:szCs w:val="18"/>
          <w:lang w:val="ka-GE"/>
        </w:rPr>
        <w:t xml:space="preserve"> აშშ დოლარის ის მაქსიმალური კურსი, რისი გადალახვის შემდეგაც კომპანიას ექნება უფლებამოსილება მოითხოვოს ფასების ზრდა </w:t>
      </w:r>
      <w:r>
        <w:rPr>
          <w:rFonts w:cs="Sylfaen"/>
          <w:sz w:val="18"/>
          <w:szCs w:val="18"/>
          <w:lang w:val="ka-GE"/>
        </w:rPr>
        <w:t xml:space="preserve">კურსის </w:t>
      </w:r>
      <w:r w:rsidRPr="007D58E0">
        <w:rPr>
          <w:rFonts w:cs="Sylfaen"/>
          <w:sz w:val="18"/>
          <w:szCs w:val="18"/>
          <w:lang w:val="ka-GE"/>
        </w:rPr>
        <w:t>პროპორიულად.</w:t>
      </w:r>
      <w:r w:rsidR="00E434F2">
        <w:rPr>
          <w:rFonts w:cs="Sylfaen"/>
          <w:sz w:val="18"/>
          <w:szCs w:val="18"/>
          <w:lang w:val="ka-GE"/>
        </w:rPr>
        <w:t xml:space="preserve"> </w:t>
      </w:r>
      <w:r w:rsidR="00E434F2" w:rsidRPr="00E434F2">
        <w:rPr>
          <w:rFonts w:cs="Sylfaen"/>
          <w:sz w:val="18"/>
          <w:szCs w:val="18"/>
          <w:lang w:val="ka-GE"/>
        </w:rPr>
        <w:t>კომპანია იღებს ვალდებულებას რომ მითითებული კურსის ზედა ზღვრამდე არ მოხდება ფასების ცვლილება</w:t>
      </w:r>
      <w:r w:rsidR="00E434F2">
        <w:rPr>
          <w:rFonts w:cs="Sylfaen"/>
          <w:sz w:val="18"/>
          <w:szCs w:val="18"/>
          <w:lang w:val="ka-GE"/>
        </w:rPr>
        <w:t>.</w:t>
      </w:r>
    </w:p>
    <w:p w14:paraId="63EC0D58" w14:textId="77777777" w:rsidR="00B100E4" w:rsidRPr="00EE60FD" w:rsidRDefault="00B100E4" w:rsidP="00B100E4">
      <w:pPr>
        <w:pStyle w:val="Heading1"/>
        <w:jc w:val="left"/>
        <w:rPr>
          <w:rFonts w:cs="Sylfaen"/>
          <w:sz w:val="20"/>
          <w:szCs w:val="20"/>
          <w:lang w:val="ka-GE"/>
        </w:rPr>
      </w:pPr>
      <w:r w:rsidRPr="00EE60FD">
        <w:rPr>
          <w:rFonts w:cs="Sylfaen"/>
          <w:sz w:val="20"/>
          <w:szCs w:val="20"/>
          <w:lang w:val="ka-GE"/>
        </w:rPr>
        <w:t>სხვა პირობები</w:t>
      </w:r>
    </w:p>
    <w:p w14:paraId="71C8DF5A" w14:textId="007CF0A2" w:rsidR="00B100E4" w:rsidRPr="00B258B6" w:rsidRDefault="00B100E4" w:rsidP="00B100E4">
      <w:pPr>
        <w:pStyle w:val="ListParagraph"/>
        <w:numPr>
          <w:ilvl w:val="0"/>
          <w:numId w:val="24"/>
        </w:numPr>
        <w:spacing w:after="60"/>
        <w:rPr>
          <w:rFonts w:cs="Sylfaen"/>
          <w:lang w:val="ka-GE"/>
        </w:rPr>
      </w:pPr>
      <w:r w:rsidRPr="00B258B6">
        <w:rPr>
          <w:rFonts w:cs="Sylfaen"/>
          <w:lang w:val="ka-GE"/>
        </w:rPr>
        <w:t xml:space="preserve">მიმწოდებელი ვალდებულია, ხელშეკრულების მოქმედების განმავლობაში, წყლის ჩამოსასხმელი დისპენსერები </w:t>
      </w:r>
      <w:r w:rsidRPr="008A5518">
        <w:rPr>
          <w:rFonts w:cs="Sylfaen"/>
          <w:lang w:val="ka-GE"/>
        </w:rPr>
        <w:t xml:space="preserve">დროებით სარგებლობაში </w:t>
      </w:r>
      <w:r w:rsidRPr="00B258B6">
        <w:rPr>
          <w:rFonts w:cs="Sylfaen"/>
          <w:lang w:val="ka-GE"/>
        </w:rPr>
        <w:t>მიაწოდოს ბანკს მის მიერ მითითებულ მისამართებზე</w:t>
      </w:r>
      <w:r w:rsidRPr="00B258B6">
        <w:rPr>
          <w:rFonts w:cs="Sylfaen"/>
        </w:rPr>
        <w:t>,</w:t>
      </w:r>
      <w:r w:rsidRPr="00B258B6">
        <w:rPr>
          <w:rFonts w:cs="Sylfaen"/>
          <w:lang w:val="ka-GE"/>
        </w:rPr>
        <w:t xml:space="preserve"> საქართველოს </w:t>
      </w:r>
      <w:r w:rsidRPr="000A0B43">
        <w:rPr>
          <w:rFonts w:cs="Sylfaen"/>
          <w:lang w:val="ka-GE"/>
        </w:rPr>
        <w:t>მაშტაბით დაახლოებით</w:t>
      </w:r>
      <w:r w:rsidR="00F90CD5">
        <w:rPr>
          <w:rFonts w:cs="Sylfaen"/>
          <w:lang w:val="ka-GE"/>
        </w:rPr>
        <w:t xml:space="preserve"> 35</w:t>
      </w:r>
      <w:r w:rsidRPr="000A0B43">
        <w:rPr>
          <w:rFonts w:cs="Sylfaen"/>
          <w:lang w:val="ka-GE"/>
        </w:rPr>
        <w:t>0 ობიექტს</w:t>
      </w:r>
      <w:r w:rsidRPr="000A0B43">
        <w:rPr>
          <w:rFonts w:cs="Sylfaen"/>
        </w:rPr>
        <w:t xml:space="preserve">, </w:t>
      </w:r>
      <w:r w:rsidRPr="000A0B43">
        <w:rPr>
          <w:rFonts w:cs="Sylfaen"/>
          <w:lang w:val="ka-GE"/>
        </w:rPr>
        <w:t>სადაც განთავსებული</w:t>
      </w:r>
      <w:r>
        <w:rPr>
          <w:rFonts w:cs="Sylfaen"/>
          <w:lang w:val="ka-GE"/>
        </w:rPr>
        <w:t xml:space="preserve"> იქნება დაახლოებით 600 დისპენსერი.</w:t>
      </w:r>
      <w:r w:rsidR="006D0E7A">
        <w:rPr>
          <w:rFonts w:cs="Sylfaen"/>
          <w:lang w:val="ka-GE"/>
        </w:rPr>
        <w:t xml:space="preserve"> ობიექტების ჩამონათვალი თანდართულია სატენდერო განცხადებაზე.</w:t>
      </w:r>
    </w:p>
    <w:p w14:paraId="422D7F99" w14:textId="77777777" w:rsidR="00B100E4" w:rsidRPr="00B258B6" w:rsidRDefault="00B100E4" w:rsidP="00B100E4">
      <w:pPr>
        <w:pStyle w:val="ListParagraph"/>
        <w:numPr>
          <w:ilvl w:val="0"/>
          <w:numId w:val="24"/>
        </w:numPr>
        <w:spacing w:after="60"/>
        <w:rPr>
          <w:rFonts w:cs="Sylfaen"/>
          <w:lang w:val="ka-GE"/>
        </w:rPr>
      </w:pPr>
      <w:r w:rsidRPr="00B258B6">
        <w:rPr>
          <w:rFonts w:cs="Sylfaen"/>
          <w:lang w:val="ka-GE"/>
        </w:rPr>
        <w:t>შემოთვაზებული ფასი უნდა მოიცავდეს ტრანსპორტირების საფასურს თბილისსა და რეგიონების მა</w:t>
      </w:r>
      <w:r>
        <w:rPr>
          <w:rFonts w:cs="Sylfaen"/>
          <w:lang w:val="ka-GE"/>
        </w:rPr>
        <w:t>ს</w:t>
      </w:r>
      <w:r w:rsidRPr="00B258B6">
        <w:rPr>
          <w:rFonts w:cs="Sylfaen"/>
          <w:lang w:val="ka-GE"/>
        </w:rPr>
        <w:t>შტაბით;</w:t>
      </w:r>
      <w:r>
        <w:rPr>
          <w:rFonts w:cs="Sylfaen"/>
        </w:rPr>
        <w:t xml:space="preserve"> </w:t>
      </w:r>
      <w:r>
        <w:rPr>
          <w:rFonts w:cs="Sylfaen"/>
          <w:lang w:val="ka-GE"/>
        </w:rPr>
        <w:t>ტრანსპორტირება ასევე მოიცავს დისპენსერების/ბიდონების ობიექტებამდე მიწოდებას (იგულისხმება სართულებზე ატანა, შიდა ტერიტორიებზე გადაადგილება)</w:t>
      </w:r>
    </w:p>
    <w:p w14:paraId="5E783632" w14:textId="77777777" w:rsidR="00B100E4" w:rsidRDefault="00B100E4" w:rsidP="00B100E4">
      <w:pPr>
        <w:pStyle w:val="ListParagraph"/>
        <w:numPr>
          <w:ilvl w:val="0"/>
          <w:numId w:val="24"/>
        </w:numPr>
        <w:spacing w:after="60"/>
        <w:contextualSpacing w:val="0"/>
        <w:rPr>
          <w:rFonts w:cs="Sylfaen"/>
          <w:lang w:val="ka-GE"/>
        </w:rPr>
      </w:pPr>
      <w:r>
        <w:rPr>
          <w:rFonts w:cs="Sylfaen"/>
          <w:lang w:val="ka-GE"/>
        </w:rPr>
        <w:t>ანგარიშსწორება უნდა მოხდეს თვეში ერთხელ, საქონლის მოწოდების შემდგომ ერთიანი ანგარიშფაქტურით 15 საბანკო დღის ვადაში;</w:t>
      </w:r>
    </w:p>
    <w:p w14:paraId="44C410AD" w14:textId="77777777" w:rsidR="00B100E4" w:rsidRPr="00B100E4" w:rsidRDefault="00B100E4" w:rsidP="00B100E4">
      <w:pPr>
        <w:pStyle w:val="ListParagraph"/>
        <w:numPr>
          <w:ilvl w:val="0"/>
          <w:numId w:val="24"/>
        </w:numPr>
        <w:spacing w:after="60"/>
        <w:contextualSpacing w:val="0"/>
        <w:rPr>
          <w:lang w:val="ka-GE"/>
        </w:rPr>
      </w:pPr>
      <w:r>
        <w:rPr>
          <w:rFonts w:cs="Sylfaen"/>
          <w:lang w:val="ka-GE"/>
        </w:rPr>
        <w:t xml:space="preserve">აუცილებელი მოთხოვნაა რომ სასმელი წყალი შეესაბამებოდეს საქართველოში </w:t>
      </w:r>
      <w:r w:rsidRPr="00B100E4">
        <w:rPr>
          <w:lang w:val="ka-GE"/>
        </w:rPr>
        <w:t>დადგენილ ხარისხის მაჩვენებლებს, ნორმატიულ სიდიდეებსა და სანიტარულ მოთხოვნებს;</w:t>
      </w:r>
    </w:p>
    <w:p w14:paraId="30C0A7FF" w14:textId="77777777" w:rsidR="00B100E4" w:rsidRDefault="00B100E4" w:rsidP="00B100E4">
      <w:pPr>
        <w:pStyle w:val="ListParagraph"/>
        <w:numPr>
          <w:ilvl w:val="0"/>
          <w:numId w:val="24"/>
        </w:numPr>
        <w:spacing w:after="60"/>
        <w:rPr>
          <w:lang w:val="ka-GE"/>
        </w:rPr>
      </w:pPr>
      <w:r w:rsidRPr="00B100E4">
        <w:rPr>
          <w:lang w:val="ka-GE"/>
        </w:rPr>
        <w:t>მომწოდებელმა ვებ გვერდზე უნდა ატვირთოს დეტალური შეთავაზების ფაილი, ფასის შეთავაზებასთან ერთად, მათ შორის პროდუქტის ნიმუშების ამსახველი სურათები;</w:t>
      </w:r>
    </w:p>
    <w:p w14:paraId="47B5BA0F" w14:textId="77777777" w:rsidR="00B100E4" w:rsidRPr="00B100E4" w:rsidRDefault="00B100E4" w:rsidP="00B100E4">
      <w:pPr>
        <w:pStyle w:val="ListParagraph"/>
        <w:numPr>
          <w:ilvl w:val="0"/>
          <w:numId w:val="24"/>
        </w:numPr>
        <w:rPr>
          <w:lang w:val="ka-GE"/>
        </w:rPr>
      </w:pPr>
      <w:r w:rsidRPr="00B100E4">
        <w:rPr>
          <w:lang w:val="ka-GE"/>
        </w:rPr>
        <w:t>ტენდერში გამარჯვებულ კომპანიასთან გაფორმდება 1 ან 2 წლიანი გენერალური ხელშეკრულება;</w:t>
      </w:r>
    </w:p>
    <w:p w14:paraId="3A5FD54E" w14:textId="77777777" w:rsidR="00B100E4" w:rsidRDefault="00B100E4" w:rsidP="00D1450D">
      <w:pPr>
        <w:rPr>
          <w:rFonts w:eastAsiaTheme="minorEastAsia" w:cs="Sylfaen"/>
          <w:lang w:eastAsia="ja-JP"/>
        </w:rPr>
      </w:pP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lastRenderedPageBreak/>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70277949" w:rsidR="00C525A4" w:rsidRDefault="00C525A4" w:rsidP="00C525A4">
      <w:pPr>
        <w:rPr>
          <w:rFonts w:eastAsiaTheme="minorEastAsia"/>
          <w:lang w:eastAsia="ja-JP"/>
        </w:rPr>
      </w:pPr>
      <w:r w:rsidRPr="00BF7F13">
        <w:rPr>
          <w:rFonts w:eastAsiaTheme="minorEastAsia"/>
          <w:lang w:val="ka-GE" w:eastAsia="ja-JP"/>
        </w:rPr>
        <w:t>ტენერში მონაწილეობის მისაღებად აუცილებელია ორგანიზაციამ შეავსოს შემოთავაზებული ფასების ცხრილი</w:t>
      </w:r>
      <w:r w:rsidR="002E1757">
        <w:rPr>
          <w:rFonts w:eastAsiaTheme="minorEastAsia"/>
          <w:lang w:val="ka-GE" w:eastAsia="ja-JP"/>
        </w:rPr>
        <w:t>.</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07E8D398" w14:textId="4003781A" w:rsidR="00C525A4" w:rsidRPr="00BF7F13" w:rsidRDefault="005B05BC" w:rsidP="00C525A4">
      <w:pPr>
        <w:rPr>
          <w:rFonts w:eastAsiaTheme="minorEastAsia"/>
          <w:lang w:val="ka-GE" w:eastAsia="ja-JP"/>
        </w:rPr>
      </w:pPr>
      <w:r w:rsidRPr="005B05BC">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440620A3" w14:textId="77777777" w:rsidR="00C525A4" w:rsidRPr="00BF7F13" w:rsidRDefault="00C525A4" w:rsidP="00C525A4">
      <w:pPr>
        <w:rPr>
          <w:rFonts w:eastAsiaTheme="minorEastAsia"/>
          <w:lang w:eastAsia="ja-JP"/>
        </w:rPr>
      </w:pPr>
    </w:p>
    <w:p w14:paraId="4DC2E55E" w14:textId="7BA5522D" w:rsidR="00C525A4" w:rsidRDefault="00C525A4" w:rsidP="00A718EF">
      <w:pPr>
        <w:rPr>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w:t>
      </w:r>
      <w:r w:rsidR="002E1757">
        <w:rPr>
          <w:b/>
          <w:lang w:val="ka-GE"/>
        </w:rPr>
        <w:t>1</w:t>
      </w:r>
      <w:r w:rsidR="00A718EF" w:rsidRPr="00A718EF">
        <w:rPr>
          <w:lang w:val="ka-GE"/>
        </w:rPr>
        <w:t>;</w:t>
      </w:r>
    </w:p>
    <w:p w14:paraId="1784B6C7" w14:textId="77777777" w:rsidR="005B05BC" w:rsidRDefault="005B05BC" w:rsidP="00A718EF">
      <w:pPr>
        <w:rPr>
          <w:lang w:val="ka-GE"/>
        </w:rPr>
      </w:pPr>
    </w:p>
    <w:p w14:paraId="2209D055" w14:textId="22DDAAAF" w:rsidR="00A66B58" w:rsidRPr="005B05BC" w:rsidRDefault="005B05BC" w:rsidP="005B05BC">
      <w:pPr>
        <w:spacing w:after="200" w:line="276" w:lineRule="auto"/>
        <w:rPr>
          <w:rFonts w:cs="Sylfaen"/>
          <w:lang w:val="ka-GE"/>
        </w:rPr>
      </w:pPr>
      <w:r w:rsidRPr="005B05BC">
        <w:rPr>
          <w:rFonts w:cs="Sylfaen"/>
          <w:lang w:val="ka-GE"/>
        </w:rPr>
        <w:t>მონაწილე კომპანიების შეფასება მოხდება შემდეგი კრიტერიუმების გათვალისწინებით: ფასი</w:t>
      </w:r>
      <w:r w:rsidR="00346479">
        <w:rPr>
          <w:rFonts w:cs="Sylfaen"/>
          <w:lang w:val="ka-GE"/>
        </w:rPr>
        <w:t xml:space="preserve"> </w:t>
      </w:r>
      <w:r w:rsidR="00191D8B">
        <w:rPr>
          <w:rFonts w:cs="Sylfaen"/>
          <w:lang w:val="ka-GE"/>
        </w:rPr>
        <w:t>3</w:t>
      </w:r>
      <w:r w:rsidR="006E4633">
        <w:rPr>
          <w:rFonts w:cs="Sylfaen"/>
        </w:rPr>
        <w:t>5</w:t>
      </w:r>
      <w:r w:rsidR="00346479">
        <w:rPr>
          <w:rFonts w:cs="Sylfaen"/>
          <w:lang w:val="ka-GE"/>
        </w:rPr>
        <w:t>%</w:t>
      </w:r>
      <w:r w:rsidRPr="005B05BC">
        <w:rPr>
          <w:rFonts w:cs="Sylfaen"/>
          <w:lang w:val="ka-GE"/>
        </w:rPr>
        <w:t xml:space="preserve">, </w:t>
      </w:r>
      <w:r w:rsidR="0073768A">
        <w:rPr>
          <w:rFonts w:cs="Sylfaen"/>
          <w:lang w:val="ka-GE"/>
        </w:rPr>
        <w:t>დოლარის კურსის ზედა ზღვარი</w:t>
      </w:r>
      <w:r w:rsidR="00191D8B">
        <w:rPr>
          <w:rFonts w:cs="Sylfaen"/>
          <w:lang w:val="ka-GE"/>
        </w:rPr>
        <w:t xml:space="preserve"> </w:t>
      </w:r>
      <w:r w:rsidR="00191D8B">
        <w:rPr>
          <w:rFonts w:cs="Sylfaen"/>
        </w:rPr>
        <w:t>5</w:t>
      </w:r>
      <w:r w:rsidR="0073768A">
        <w:rPr>
          <w:rFonts w:cs="Sylfaen"/>
          <w:lang w:val="ka-GE"/>
        </w:rPr>
        <w:t xml:space="preserve">%, </w:t>
      </w:r>
      <w:r w:rsidR="007D58E0">
        <w:rPr>
          <w:rFonts w:cs="Sylfaen"/>
          <w:lang w:val="ka-GE"/>
        </w:rPr>
        <w:t>მომსახურების ვადები (დანართი N1)</w:t>
      </w:r>
      <w:r w:rsidR="00346479">
        <w:rPr>
          <w:rFonts w:cs="Sylfaen"/>
          <w:lang w:val="ka-GE"/>
        </w:rPr>
        <w:t xml:space="preserve"> </w:t>
      </w:r>
      <w:r w:rsidR="006E4633">
        <w:rPr>
          <w:rFonts w:cs="Sylfaen"/>
        </w:rPr>
        <w:t>40</w:t>
      </w:r>
      <w:r w:rsidR="00346479">
        <w:rPr>
          <w:rFonts w:cs="Sylfaen"/>
          <w:lang w:val="ka-GE"/>
        </w:rPr>
        <w:t>%</w:t>
      </w:r>
      <w:r w:rsidRPr="005B05BC">
        <w:rPr>
          <w:rFonts w:cs="Sylfaen"/>
          <w:lang w:val="ka-GE"/>
        </w:rPr>
        <w:t xml:space="preserve">, </w:t>
      </w:r>
      <w:r w:rsidR="006E4633" w:rsidRPr="006E4633">
        <w:rPr>
          <w:rFonts w:cs="Sylfaen"/>
          <w:lang w:val="ka-GE"/>
        </w:rPr>
        <w:t xml:space="preserve">მსგავსი მოცულობის პროექტების </w:t>
      </w:r>
      <w:r w:rsidR="006E4633">
        <w:rPr>
          <w:rFonts w:cs="Sylfaen"/>
          <w:lang w:val="ka-GE"/>
        </w:rPr>
        <w:t>შესრულება</w:t>
      </w:r>
      <w:r w:rsidR="006E4633" w:rsidRPr="006E4633">
        <w:rPr>
          <w:rFonts w:cs="Sylfaen"/>
          <w:lang w:val="ka-GE"/>
        </w:rPr>
        <w:t xml:space="preserve"> </w:t>
      </w:r>
      <w:r w:rsidR="006E4633">
        <w:rPr>
          <w:rFonts w:cs="Sylfaen"/>
          <w:lang w:val="ka-GE"/>
        </w:rPr>
        <w:t>(</w:t>
      </w:r>
      <w:r w:rsidR="006E4633" w:rsidRPr="006E4633">
        <w:rPr>
          <w:rFonts w:cs="Sylfaen"/>
          <w:lang w:val="ka-GE"/>
        </w:rPr>
        <w:t>სარეკომენდაციო წერილების ჩათვლით</w:t>
      </w:r>
      <w:r w:rsidR="006E4633">
        <w:rPr>
          <w:rFonts w:cs="Sylfaen"/>
          <w:lang w:val="ka-GE"/>
        </w:rPr>
        <w:t xml:space="preserve">) </w:t>
      </w:r>
      <w:r w:rsidR="006E4633">
        <w:rPr>
          <w:rFonts w:cs="Sylfaen"/>
        </w:rPr>
        <w:t>20</w:t>
      </w:r>
      <w:r w:rsidR="00346479">
        <w:rPr>
          <w:rFonts w:cs="Sylfaen"/>
          <w:lang w:val="ka-GE"/>
        </w:rPr>
        <w:t>%.</w:t>
      </w:r>
    </w:p>
    <w:p w14:paraId="6D6915B5" w14:textId="2C30A483" w:rsid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191D8B">
        <w:rPr>
          <w:lang w:val="ka-GE"/>
        </w:rPr>
        <w:t>ეროვნულ ვალუტაში და</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68C3DDB6" w14:textId="77777777" w:rsidR="00786A86" w:rsidRDefault="00786A86" w:rsidP="00A66B58">
      <w:pPr>
        <w:rPr>
          <w:lang w:val="ka-GE"/>
        </w:rPr>
      </w:pPr>
    </w:p>
    <w:p w14:paraId="3D1D8BCC" w14:textId="2ED1A9D9" w:rsidR="00786A86" w:rsidRDefault="00786A86" w:rsidP="00A66B58">
      <w:pPr>
        <w:rPr>
          <w:lang w:val="ka-GE"/>
        </w:rPr>
      </w:pPr>
      <w:proofErr w:type="spellStart"/>
      <w:proofErr w:type="gramStart"/>
      <w:r>
        <w:t>ტენდერი</w:t>
      </w:r>
      <w:proofErr w:type="spellEnd"/>
      <w:proofErr w:type="gramEnd"/>
      <w:r>
        <w:t xml:space="preserve"> </w:t>
      </w:r>
      <w:proofErr w:type="spellStart"/>
      <w:r>
        <w:t>ჩატარდება</w:t>
      </w:r>
      <w:proofErr w:type="spellEnd"/>
      <w:r>
        <w:t xml:space="preserve"> </w:t>
      </w:r>
      <w:proofErr w:type="spellStart"/>
      <w:r>
        <w:t>ღია</w:t>
      </w:r>
      <w:proofErr w:type="spellEnd"/>
      <w:r>
        <w:t xml:space="preserve"> </w:t>
      </w:r>
      <w:proofErr w:type="spellStart"/>
      <w:r>
        <w:t>ვაჭრობის</w:t>
      </w:r>
      <w:proofErr w:type="spellEnd"/>
      <w:r>
        <w:t xml:space="preserve"> </w:t>
      </w:r>
      <w:proofErr w:type="spellStart"/>
      <w:r>
        <w:t>პრინციპით</w:t>
      </w:r>
      <w:proofErr w:type="spellEnd"/>
      <w:r>
        <w:t xml:space="preserve">, </w:t>
      </w:r>
      <w:proofErr w:type="spellStart"/>
      <w:r>
        <w:t>ვაჭრობა</w:t>
      </w:r>
      <w:proofErr w:type="spellEnd"/>
      <w:r>
        <w:t xml:space="preserve"> </w:t>
      </w:r>
      <w:proofErr w:type="spellStart"/>
      <w:r>
        <w:t>გაიმართება</w:t>
      </w:r>
      <w:proofErr w:type="spellEnd"/>
      <w:r>
        <w:t xml:space="preserve"> 3 </w:t>
      </w:r>
      <w:proofErr w:type="spellStart"/>
      <w:r>
        <w:t>ეტაპად</w:t>
      </w:r>
      <w:proofErr w:type="spellEnd"/>
      <w:r>
        <w:t xml:space="preserve">, </w:t>
      </w:r>
      <w:r>
        <w:rPr>
          <w:lang w:val="ka-GE"/>
        </w:rPr>
        <w:t xml:space="preserve">ვაჭრობის ბიჯი </w:t>
      </w:r>
      <w:r w:rsidR="00191D8B">
        <w:rPr>
          <w:lang w:val="ka-GE"/>
        </w:rPr>
        <w:t>3000</w:t>
      </w:r>
      <w:r>
        <w:rPr>
          <w:lang w:val="ka-GE"/>
        </w:rPr>
        <w:t xml:space="preserve"> ლარი.</w:t>
      </w:r>
    </w:p>
    <w:p w14:paraId="6B6402B4" w14:textId="77777777" w:rsidR="0043167D" w:rsidRDefault="0043167D" w:rsidP="00A66B58">
      <w:pPr>
        <w:rPr>
          <w:lang w:val="ka-GE"/>
        </w:rPr>
      </w:pPr>
    </w:p>
    <w:p w14:paraId="76C8AE92" w14:textId="6C6B7296" w:rsidR="0043167D" w:rsidRPr="00786A86" w:rsidRDefault="0043167D" w:rsidP="00A66B58">
      <w:pPr>
        <w:rPr>
          <w:lang w:val="ka-GE"/>
        </w:rPr>
      </w:pPr>
      <w:r w:rsidRPr="0043167D">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7372B112" w14:textId="77777777" w:rsidR="00A66B58" w:rsidRPr="00A66B58" w:rsidRDefault="00A66B58" w:rsidP="00A66B58">
      <w:pPr>
        <w:rPr>
          <w:lang w:val="ka-GE"/>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22227847"/>
      <w:r w:rsidRPr="00D140FB">
        <w:rPr>
          <w:rFonts w:eastAsiaTheme="majorEastAsia" w:cstheme="majorBidi"/>
          <w:b/>
          <w:color w:val="FF671B"/>
          <w:sz w:val="24"/>
          <w:szCs w:val="28"/>
          <w:lang w:val="ka-GE" w:eastAsia="ja-JP"/>
        </w:rPr>
        <w:t>დამატებითი ინფორმაცია:</w:t>
      </w:r>
      <w:bookmarkEnd w:id="6"/>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Default="00B8474F" w:rsidP="00B8474F">
      <w:pPr>
        <w:ind w:left="945"/>
        <w:contextualSpacing/>
        <w:rPr>
          <w:lang w:val="ka-GE"/>
        </w:rPr>
      </w:pPr>
    </w:p>
    <w:p w14:paraId="7117D8DA" w14:textId="77777777" w:rsidR="0043167D" w:rsidRPr="00C525A4" w:rsidRDefault="0043167D" w:rsidP="00B8474F">
      <w:pPr>
        <w:ind w:left="945"/>
        <w:contextualSpacing/>
        <w:rPr>
          <w:lang w:val="ka-GE"/>
        </w:rPr>
      </w:pPr>
    </w:p>
    <w:bookmarkEnd w:id="5"/>
    <w:p w14:paraId="524331E3" w14:textId="77777777" w:rsidR="0043167D" w:rsidRPr="0043167D" w:rsidRDefault="0043167D" w:rsidP="0043167D">
      <w:pPr>
        <w:jc w:val="left"/>
        <w:rPr>
          <w:rFonts w:eastAsiaTheme="majorEastAsia" w:cstheme="majorBidi"/>
          <w:b/>
          <w:color w:val="FF671B"/>
          <w:sz w:val="24"/>
          <w:szCs w:val="28"/>
          <w:lang w:val="ka-GE" w:eastAsia="ja-JP"/>
        </w:rPr>
      </w:pPr>
      <w:r w:rsidRPr="0043167D">
        <w:rPr>
          <w:rFonts w:eastAsiaTheme="majorEastAsia" w:cstheme="majorBidi"/>
          <w:b/>
          <w:color w:val="FF671B"/>
          <w:sz w:val="24"/>
          <w:szCs w:val="28"/>
          <w:lang w:val="ka-GE" w:eastAsia="ja-JP"/>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76DDB6C4" w14:textId="77777777" w:rsidR="0043167D" w:rsidRPr="0043167D" w:rsidRDefault="0043167D" w:rsidP="0043167D">
      <w:pPr>
        <w:jc w:val="left"/>
        <w:rPr>
          <w:rFonts w:eastAsiaTheme="minorEastAsia"/>
          <w:lang w:eastAsia="ja-JP"/>
        </w:rPr>
      </w:pPr>
    </w:p>
    <w:p w14:paraId="283F5305" w14:textId="77777777" w:rsidR="0043167D" w:rsidRPr="0043167D" w:rsidRDefault="0043167D" w:rsidP="0043167D">
      <w:pPr>
        <w:pStyle w:val="ListParagraph"/>
        <w:numPr>
          <w:ilvl w:val="0"/>
          <w:numId w:val="23"/>
        </w:numPr>
        <w:jc w:val="left"/>
        <w:rPr>
          <w:rFonts w:eastAsiaTheme="minorEastAsia"/>
          <w:lang w:eastAsia="ja-JP"/>
        </w:rPr>
      </w:pPr>
      <w:proofErr w:type="spellStart"/>
      <w:r w:rsidRPr="0043167D">
        <w:rPr>
          <w:rFonts w:eastAsiaTheme="minorEastAsia"/>
          <w:lang w:eastAsia="ja-JP"/>
        </w:rPr>
        <w:t>ამონაწერი</w:t>
      </w:r>
      <w:proofErr w:type="spellEnd"/>
      <w:r w:rsidRPr="0043167D">
        <w:rPr>
          <w:rFonts w:eastAsiaTheme="minorEastAsia"/>
          <w:lang w:eastAsia="ja-JP"/>
        </w:rPr>
        <w:t xml:space="preserve"> </w:t>
      </w:r>
      <w:proofErr w:type="spellStart"/>
      <w:r w:rsidRPr="0043167D">
        <w:rPr>
          <w:rFonts w:eastAsiaTheme="minorEastAsia"/>
          <w:lang w:eastAsia="ja-JP"/>
        </w:rPr>
        <w:t>სამეწარმეო</w:t>
      </w:r>
      <w:proofErr w:type="spellEnd"/>
      <w:r w:rsidRPr="0043167D">
        <w:rPr>
          <w:rFonts w:eastAsiaTheme="minorEastAsia"/>
          <w:lang w:eastAsia="ja-JP"/>
        </w:rPr>
        <w:t xml:space="preserve"> </w:t>
      </w:r>
      <w:proofErr w:type="spellStart"/>
      <w:r w:rsidRPr="0043167D">
        <w:rPr>
          <w:rFonts w:eastAsiaTheme="minorEastAsia"/>
          <w:lang w:eastAsia="ja-JP"/>
        </w:rPr>
        <w:t>რეესტრიდან</w:t>
      </w:r>
      <w:proofErr w:type="spellEnd"/>
      <w:r w:rsidRPr="0043167D">
        <w:rPr>
          <w:rFonts w:eastAsiaTheme="minorEastAsia"/>
          <w:lang w:eastAsia="ja-JP"/>
        </w:rPr>
        <w:t>;</w:t>
      </w:r>
    </w:p>
    <w:p w14:paraId="1610EEFD" w14:textId="502A9BF5" w:rsidR="0043167D" w:rsidRDefault="0043167D" w:rsidP="0043167D">
      <w:pPr>
        <w:pStyle w:val="ListParagraph"/>
        <w:numPr>
          <w:ilvl w:val="0"/>
          <w:numId w:val="23"/>
        </w:numPr>
        <w:jc w:val="left"/>
        <w:rPr>
          <w:rFonts w:eastAsiaTheme="minorEastAsia"/>
          <w:lang w:eastAsia="ja-JP"/>
        </w:rPr>
      </w:pPr>
      <w:proofErr w:type="spellStart"/>
      <w:r w:rsidRPr="0043167D">
        <w:rPr>
          <w:rFonts w:eastAsiaTheme="minorEastAsia"/>
          <w:lang w:eastAsia="ja-JP"/>
        </w:rPr>
        <w:t>წინამდებარე</w:t>
      </w:r>
      <w:proofErr w:type="spellEnd"/>
      <w:r w:rsidRPr="0043167D">
        <w:rPr>
          <w:rFonts w:eastAsiaTheme="minorEastAsia"/>
          <w:lang w:eastAsia="ja-JP"/>
        </w:rPr>
        <w:t xml:space="preserve"> </w:t>
      </w:r>
      <w:proofErr w:type="spellStart"/>
      <w:r w:rsidRPr="0043167D">
        <w:rPr>
          <w:rFonts w:eastAsiaTheme="minorEastAsia"/>
          <w:lang w:eastAsia="ja-JP"/>
        </w:rPr>
        <w:t>დოკუმენტი</w:t>
      </w:r>
      <w:proofErr w:type="spellEnd"/>
      <w:r w:rsidRPr="0043167D">
        <w:rPr>
          <w:rFonts w:eastAsiaTheme="minorEastAsia"/>
          <w:lang w:eastAsia="ja-JP"/>
        </w:rPr>
        <w:t xml:space="preserve"> </w:t>
      </w:r>
      <w:proofErr w:type="spellStart"/>
      <w:r w:rsidRPr="0043167D">
        <w:rPr>
          <w:rFonts w:eastAsiaTheme="minorEastAsia"/>
          <w:lang w:eastAsia="ja-JP"/>
        </w:rPr>
        <w:t>შევსებული</w:t>
      </w:r>
      <w:proofErr w:type="spellEnd"/>
      <w:r w:rsidRPr="0043167D">
        <w:rPr>
          <w:rFonts w:eastAsiaTheme="minorEastAsia"/>
          <w:lang w:eastAsia="ja-JP"/>
        </w:rPr>
        <w:t xml:space="preserve"> </w:t>
      </w:r>
      <w:r w:rsidR="009220AE">
        <w:rPr>
          <w:rFonts w:eastAsiaTheme="minorEastAsia"/>
          <w:lang w:val="ka-GE" w:eastAsia="ja-JP"/>
        </w:rPr>
        <w:t>ფორმით</w:t>
      </w:r>
      <w:r>
        <w:rPr>
          <w:rFonts w:eastAsiaTheme="minorEastAsia"/>
          <w:lang w:eastAsia="ja-JP"/>
        </w:rPr>
        <w:t xml:space="preserve"> (</w:t>
      </w:r>
      <w:proofErr w:type="spellStart"/>
      <w:r>
        <w:rPr>
          <w:rFonts w:eastAsiaTheme="minorEastAsia"/>
          <w:lang w:eastAsia="ja-JP"/>
        </w:rPr>
        <w:t>დანართი</w:t>
      </w:r>
      <w:proofErr w:type="spellEnd"/>
      <w:r>
        <w:rPr>
          <w:rFonts w:eastAsiaTheme="minorEastAsia"/>
          <w:lang w:eastAsia="ja-JP"/>
        </w:rPr>
        <w:t xml:space="preserve"> N1 </w:t>
      </w:r>
      <w:proofErr w:type="spellStart"/>
      <w:r>
        <w:rPr>
          <w:rFonts w:eastAsiaTheme="minorEastAsia"/>
          <w:lang w:eastAsia="ja-JP"/>
        </w:rPr>
        <w:t>და</w:t>
      </w:r>
      <w:proofErr w:type="spellEnd"/>
      <w:r>
        <w:rPr>
          <w:rFonts w:eastAsiaTheme="minorEastAsia"/>
          <w:lang w:eastAsia="ja-JP"/>
        </w:rPr>
        <w:t xml:space="preserve"> </w:t>
      </w:r>
      <w:proofErr w:type="spellStart"/>
      <w:r>
        <w:rPr>
          <w:rFonts w:eastAsiaTheme="minorEastAsia"/>
          <w:lang w:eastAsia="ja-JP"/>
        </w:rPr>
        <w:t>დანართი</w:t>
      </w:r>
      <w:proofErr w:type="spellEnd"/>
      <w:r>
        <w:rPr>
          <w:rFonts w:eastAsiaTheme="minorEastAsia"/>
          <w:lang w:eastAsia="ja-JP"/>
        </w:rPr>
        <w:t xml:space="preserve"> N2)</w:t>
      </w:r>
      <w:r w:rsidRPr="0043167D">
        <w:rPr>
          <w:rFonts w:eastAsiaTheme="minorEastAsia"/>
          <w:lang w:eastAsia="ja-JP"/>
        </w:rPr>
        <w:t xml:space="preserve">, </w:t>
      </w:r>
      <w:r>
        <w:rPr>
          <w:rFonts w:eastAsiaTheme="minorEastAsia"/>
          <w:lang w:val="ka-GE" w:eastAsia="ja-JP"/>
        </w:rPr>
        <w:t xml:space="preserve">ყველა გვერდზე </w:t>
      </w:r>
      <w:proofErr w:type="spellStart"/>
      <w:r w:rsidRPr="0043167D">
        <w:rPr>
          <w:rFonts w:eastAsiaTheme="minorEastAsia"/>
          <w:lang w:eastAsia="ja-JP"/>
        </w:rPr>
        <w:t>ხელმოწერილი</w:t>
      </w:r>
      <w:proofErr w:type="spellEnd"/>
      <w:r w:rsidRPr="0043167D">
        <w:rPr>
          <w:rFonts w:eastAsiaTheme="minorEastAsia"/>
          <w:lang w:eastAsia="ja-JP"/>
        </w:rPr>
        <w:t xml:space="preserve"> </w:t>
      </w:r>
      <w:proofErr w:type="spellStart"/>
      <w:r w:rsidRPr="0043167D">
        <w:rPr>
          <w:rFonts w:eastAsiaTheme="minorEastAsia"/>
          <w:lang w:eastAsia="ja-JP"/>
        </w:rPr>
        <w:t>უფლებამოსილი</w:t>
      </w:r>
      <w:proofErr w:type="spellEnd"/>
      <w:r w:rsidRPr="0043167D">
        <w:rPr>
          <w:rFonts w:eastAsiaTheme="minorEastAsia"/>
          <w:lang w:eastAsia="ja-JP"/>
        </w:rPr>
        <w:t xml:space="preserve"> </w:t>
      </w:r>
      <w:proofErr w:type="spellStart"/>
      <w:r w:rsidRPr="0043167D">
        <w:rPr>
          <w:rFonts w:eastAsiaTheme="minorEastAsia"/>
          <w:lang w:eastAsia="ja-JP"/>
        </w:rPr>
        <w:t>პირის</w:t>
      </w:r>
      <w:proofErr w:type="spellEnd"/>
      <w:r w:rsidRPr="0043167D">
        <w:rPr>
          <w:rFonts w:eastAsiaTheme="minorEastAsia"/>
          <w:lang w:eastAsia="ja-JP"/>
        </w:rPr>
        <w:t xml:space="preserve"> </w:t>
      </w:r>
      <w:proofErr w:type="spellStart"/>
      <w:r w:rsidRPr="0043167D">
        <w:rPr>
          <w:rFonts w:eastAsiaTheme="minorEastAsia"/>
          <w:lang w:eastAsia="ja-JP"/>
        </w:rPr>
        <w:t>მიერ</w:t>
      </w:r>
      <w:proofErr w:type="spellEnd"/>
      <w:r w:rsidRPr="0043167D">
        <w:rPr>
          <w:rFonts w:eastAsiaTheme="minorEastAsia"/>
          <w:lang w:eastAsia="ja-JP"/>
        </w:rPr>
        <w:t>;</w:t>
      </w:r>
    </w:p>
    <w:p w14:paraId="5E49AE51" w14:textId="255F7982" w:rsidR="0043167D" w:rsidRPr="00082325" w:rsidRDefault="0043167D" w:rsidP="0043167D">
      <w:pPr>
        <w:pStyle w:val="ListParagraph"/>
        <w:numPr>
          <w:ilvl w:val="0"/>
          <w:numId w:val="23"/>
        </w:numPr>
        <w:jc w:val="left"/>
        <w:rPr>
          <w:rFonts w:eastAsiaTheme="minorEastAsia"/>
          <w:lang w:eastAsia="ja-JP"/>
        </w:rPr>
      </w:pPr>
      <w:r>
        <w:rPr>
          <w:rFonts w:eastAsiaTheme="minorEastAsia"/>
          <w:lang w:val="ka-GE" w:eastAsia="ja-JP"/>
        </w:rPr>
        <w:t>შემოთავაზებული საქონლის აღწერილობა</w:t>
      </w:r>
      <w:r w:rsidR="004E15EB">
        <w:rPr>
          <w:rFonts w:eastAsiaTheme="minorEastAsia"/>
          <w:lang w:val="ka-GE" w:eastAsia="ja-JP"/>
        </w:rPr>
        <w:t>, ვიზუალი</w:t>
      </w:r>
      <w:r>
        <w:rPr>
          <w:rFonts w:eastAsiaTheme="minorEastAsia"/>
          <w:lang w:val="ka-GE" w:eastAsia="ja-JP"/>
        </w:rPr>
        <w:t xml:space="preserve"> და სპეციფიკაციები</w:t>
      </w:r>
      <w:r w:rsidR="006D0E7A">
        <w:rPr>
          <w:rFonts w:eastAsiaTheme="minorEastAsia"/>
          <w:lang w:val="ka-GE" w:eastAsia="ja-JP"/>
        </w:rPr>
        <w:t>;</w:t>
      </w:r>
    </w:p>
    <w:p w14:paraId="2624F2CB" w14:textId="2CC4D3B3" w:rsidR="00082325" w:rsidRPr="0043167D" w:rsidRDefault="00082325" w:rsidP="00082325">
      <w:pPr>
        <w:pStyle w:val="ListParagraph"/>
        <w:numPr>
          <w:ilvl w:val="0"/>
          <w:numId w:val="23"/>
        </w:numPr>
        <w:jc w:val="left"/>
        <w:rPr>
          <w:rFonts w:eastAsiaTheme="minorEastAsia"/>
          <w:lang w:eastAsia="ja-JP"/>
        </w:rPr>
      </w:pPr>
      <w:proofErr w:type="spellStart"/>
      <w:r w:rsidRPr="00082325">
        <w:rPr>
          <w:rFonts w:eastAsiaTheme="minorEastAsia"/>
          <w:lang w:eastAsia="ja-JP"/>
        </w:rPr>
        <w:t>ხარისხის</w:t>
      </w:r>
      <w:proofErr w:type="spellEnd"/>
      <w:r w:rsidRPr="00082325">
        <w:rPr>
          <w:rFonts w:eastAsiaTheme="minorEastAsia"/>
          <w:lang w:eastAsia="ja-JP"/>
        </w:rPr>
        <w:t xml:space="preserve"> </w:t>
      </w:r>
      <w:proofErr w:type="spellStart"/>
      <w:r w:rsidRPr="00082325">
        <w:rPr>
          <w:rFonts w:eastAsiaTheme="minorEastAsia"/>
          <w:lang w:eastAsia="ja-JP"/>
        </w:rPr>
        <w:t>დამადასტურებელი</w:t>
      </w:r>
      <w:proofErr w:type="spellEnd"/>
      <w:r w:rsidRPr="00082325">
        <w:rPr>
          <w:rFonts w:eastAsiaTheme="minorEastAsia"/>
          <w:lang w:eastAsia="ja-JP"/>
        </w:rPr>
        <w:t xml:space="preserve"> </w:t>
      </w:r>
      <w:proofErr w:type="spellStart"/>
      <w:r w:rsidRPr="00082325">
        <w:rPr>
          <w:rFonts w:eastAsiaTheme="minorEastAsia"/>
          <w:lang w:eastAsia="ja-JP"/>
        </w:rPr>
        <w:t>დოკუმენტები</w:t>
      </w:r>
      <w:proofErr w:type="spellEnd"/>
      <w:r w:rsidRPr="00082325">
        <w:rPr>
          <w:rFonts w:eastAsiaTheme="minorEastAsia"/>
          <w:lang w:eastAsia="ja-JP"/>
        </w:rPr>
        <w:t>;</w:t>
      </w:r>
    </w:p>
    <w:p w14:paraId="5D2AE94E" w14:textId="4C53F591" w:rsidR="006E4633" w:rsidRPr="0043167D" w:rsidRDefault="006E4633" w:rsidP="0043167D">
      <w:pPr>
        <w:pStyle w:val="ListParagraph"/>
        <w:numPr>
          <w:ilvl w:val="0"/>
          <w:numId w:val="23"/>
        </w:numPr>
        <w:jc w:val="left"/>
        <w:rPr>
          <w:rFonts w:eastAsiaTheme="minorEastAsia"/>
          <w:lang w:eastAsia="ja-JP"/>
        </w:rPr>
      </w:pPr>
      <w:r>
        <w:rPr>
          <w:rFonts w:eastAsiaTheme="minorEastAsia"/>
          <w:lang w:val="ka-GE" w:eastAsia="ja-JP"/>
        </w:rPr>
        <w:t xml:space="preserve">ინფორმაცია მსგავსი მოცულობის პროექტების </w:t>
      </w:r>
      <w:r w:rsidR="00182178">
        <w:rPr>
          <w:rFonts w:eastAsiaTheme="minorEastAsia"/>
          <w:lang w:val="ka-GE" w:eastAsia="ja-JP"/>
        </w:rPr>
        <w:t>შესრუ</w:t>
      </w:r>
      <w:r>
        <w:rPr>
          <w:rFonts w:eastAsiaTheme="minorEastAsia"/>
          <w:lang w:val="ka-GE" w:eastAsia="ja-JP"/>
        </w:rPr>
        <w:t>ლ</w:t>
      </w:r>
      <w:r w:rsidR="00182178">
        <w:rPr>
          <w:rFonts w:eastAsiaTheme="minorEastAsia"/>
          <w:lang w:val="ka-GE" w:eastAsia="ja-JP"/>
        </w:rPr>
        <w:t>ე</w:t>
      </w:r>
      <w:r>
        <w:rPr>
          <w:rFonts w:eastAsiaTheme="minorEastAsia"/>
          <w:lang w:val="ka-GE" w:eastAsia="ja-JP"/>
        </w:rPr>
        <w:t>ბის შესახებ, სარეკომენდაციო წერილების ჩათვლით;</w:t>
      </w:r>
    </w:p>
    <w:p w14:paraId="42B567B4" w14:textId="77777777" w:rsidR="0043167D" w:rsidRPr="00082325" w:rsidRDefault="0043167D" w:rsidP="0043167D">
      <w:pPr>
        <w:jc w:val="left"/>
        <w:rPr>
          <w:rFonts w:eastAsiaTheme="minorEastAsia"/>
          <w:lang w:val="ka-GE" w:eastAsia="ja-JP"/>
        </w:rPr>
      </w:pPr>
    </w:p>
    <w:p w14:paraId="0BCC8979" w14:textId="77777777" w:rsidR="009E2430" w:rsidRDefault="009E2430" w:rsidP="0043167D">
      <w:pPr>
        <w:jc w:val="left"/>
        <w:rPr>
          <w:rFonts w:eastAsiaTheme="minorEastAsia"/>
          <w:lang w:val="ka-GE" w:eastAsia="ja-JP"/>
        </w:rPr>
      </w:pPr>
    </w:p>
    <w:p w14:paraId="40C29377" w14:textId="77777777" w:rsidR="009E2430" w:rsidRDefault="009E2430" w:rsidP="0043167D">
      <w:pPr>
        <w:jc w:val="left"/>
        <w:rPr>
          <w:rFonts w:eastAsiaTheme="minorEastAsia"/>
          <w:lang w:val="ka-GE" w:eastAsia="ja-JP"/>
        </w:rPr>
      </w:pPr>
    </w:p>
    <w:p w14:paraId="2E5D9628" w14:textId="77777777" w:rsidR="00021AF5" w:rsidRDefault="00021AF5" w:rsidP="0043167D">
      <w:pPr>
        <w:jc w:val="left"/>
        <w:rPr>
          <w:rFonts w:eastAsiaTheme="minorEastAsia"/>
          <w:lang w:val="ka-GE" w:eastAsia="ja-JP"/>
        </w:rPr>
        <w:sectPr w:rsidR="00021AF5"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pPr>
    </w:p>
    <w:p w14:paraId="71872AEA" w14:textId="77777777" w:rsidR="009E2430" w:rsidRDefault="009E2430" w:rsidP="0043167D">
      <w:pPr>
        <w:jc w:val="left"/>
        <w:rPr>
          <w:rFonts w:eastAsiaTheme="minorEastAsia"/>
          <w:lang w:val="ka-GE" w:eastAsia="ja-JP"/>
        </w:rPr>
      </w:pPr>
    </w:p>
    <w:p w14:paraId="6986353D" w14:textId="77777777" w:rsidR="009E2430" w:rsidRDefault="009E2430" w:rsidP="0043167D">
      <w:pPr>
        <w:jc w:val="left"/>
        <w:rPr>
          <w:rFonts w:eastAsiaTheme="minorEastAsia"/>
          <w:lang w:val="ka-GE" w:eastAsia="ja-JP"/>
        </w:rPr>
      </w:pPr>
    </w:p>
    <w:p w14:paraId="5CB54418" w14:textId="77777777" w:rsidR="009E2430" w:rsidRDefault="009E2430" w:rsidP="0043167D">
      <w:pPr>
        <w:jc w:val="left"/>
        <w:rPr>
          <w:rFonts w:eastAsiaTheme="minorEastAsia"/>
          <w:lang w:val="ka-GE" w:eastAsia="ja-JP"/>
        </w:rPr>
      </w:pPr>
    </w:p>
    <w:p w14:paraId="31022BE1" w14:textId="77777777" w:rsidR="009E2430" w:rsidRDefault="009E2430" w:rsidP="0043167D">
      <w:pPr>
        <w:jc w:val="left"/>
        <w:rPr>
          <w:rFonts w:eastAsiaTheme="minorEastAsia"/>
          <w:lang w:val="ka-GE" w:eastAsia="ja-JP"/>
        </w:rPr>
      </w:pPr>
    </w:p>
    <w:p w14:paraId="3B5A2471" w14:textId="77777777" w:rsidR="009E2430" w:rsidRDefault="009E2430" w:rsidP="0043167D">
      <w:pPr>
        <w:jc w:val="left"/>
        <w:rPr>
          <w:rFonts w:eastAsiaTheme="minorEastAsia"/>
          <w:lang w:val="ka-GE" w:eastAsia="ja-JP"/>
        </w:rPr>
      </w:pPr>
    </w:p>
    <w:p w14:paraId="0C34C464" w14:textId="77777777" w:rsidR="009E2430" w:rsidRDefault="009E2430" w:rsidP="0043167D">
      <w:pPr>
        <w:jc w:val="left"/>
        <w:rPr>
          <w:rFonts w:eastAsiaTheme="minorEastAsia"/>
          <w:lang w:val="ka-GE" w:eastAsia="ja-JP"/>
        </w:rPr>
      </w:pPr>
    </w:p>
    <w:p w14:paraId="5F5EF2CA" w14:textId="58950DA4" w:rsidR="009E2430" w:rsidRPr="009E2430" w:rsidRDefault="009E2430" w:rsidP="0043167D">
      <w:pPr>
        <w:jc w:val="left"/>
        <w:rPr>
          <w:rFonts w:eastAsiaTheme="minorEastAsia"/>
          <w:b/>
          <w:lang w:val="ka-GE" w:eastAsia="ja-JP"/>
        </w:rPr>
      </w:pPr>
      <w:r w:rsidRPr="009E2430">
        <w:rPr>
          <w:rFonts w:eastAsiaTheme="minorEastAsia"/>
          <w:b/>
          <w:lang w:val="ka-GE" w:eastAsia="ja-JP"/>
        </w:rPr>
        <w:t xml:space="preserve">დანართი N1 </w:t>
      </w:r>
    </w:p>
    <w:p w14:paraId="44582B6C" w14:textId="77777777" w:rsidR="0043167D" w:rsidRDefault="0043167D" w:rsidP="0043167D">
      <w:pPr>
        <w:jc w:val="left"/>
        <w:rPr>
          <w:rFonts w:eastAsiaTheme="minorEastAsia"/>
          <w:lang w:eastAsia="ja-JP"/>
        </w:rPr>
      </w:pPr>
    </w:p>
    <w:tbl>
      <w:tblPr>
        <w:tblStyle w:val="TableGrid"/>
        <w:tblW w:w="0" w:type="auto"/>
        <w:tblLook w:val="04A0" w:firstRow="1" w:lastRow="0" w:firstColumn="1" w:lastColumn="0" w:noHBand="0" w:noVBand="1"/>
      </w:tblPr>
      <w:tblGrid>
        <w:gridCol w:w="4338"/>
        <w:gridCol w:w="2250"/>
      </w:tblGrid>
      <w:tr w:rsidR="009E2430" w14:paraId="597F3FC1" w14:textId="77777777" w:rsidTr="00531A20">
        <w:tc>
          <w:tcPr>
            <w:tcW w:w="4338" w:type="dxa"/>
          </w:tcPr>
          <w:p w14:paraId="5F8AC972" w14:textId="2897445A" w:rsidR="009E2430" w:rsidRPr="00E449C3" w:rsidRDefault="00E449C3" w:rsidP="0043167D">
            <w:pPr>
              <w:jc w:val="left"/>
              <w:rPr>
                <w:rFonts w:eastAsiaTheme="minorEastAsia"/>
                <w:b/>
                <w:lang w:val="ka-GE" w:eastAsia="ja-JP"/>
              </w:rPr>
            </w:pPr>
            <w:r w:rsidRPr="00E449C3">
              <w:rPr>
                <w:rFonts w:eastAsiaTheme="minorEastAsia"/>
                <w:b/>
                <w:lang w:val="ka-GE" w:eastAsia="ja-JP"/>
              </w:rPr>
              <w:t>მომსახურების ვადები</w:t>
            </w:r>
          </w:p>
        </w:tc>
        <w:tc>
          <w:tcPr>
            <w:tcW w:w="2250" w:type="dxa"/>
          </w:tcPr>
          <w:p w14:paraId="6A5EFF91" w14:textId="3BB9A5A8" w:rsidR="009E2430" w:rsidRPr="00E449C3" w:rsidRDefault="00E449C3" w:rsidP="00E449C3">
            <w:pPr>
              <w:jc w:val="center"/>
              <w:rPr>
                <w:rFonts w:eastAsiaTheme="minorEastAsia"/>
                <w:b/>
                <w:lang w:val="ka-GE" w:eastAsia="ja-JP"/>
              </w:rPr>
            </w:pPr>
            <w:r w:rsidRPr="00E449C3">
              <w:rPr>
                <w:rFonts w:eastAsiaTheme="minorEastAsia"/>
                <w:b/>
                <w:lang w:val="ka-GE" w:eastAsia="ja-JP"/>
              </w:rPr>
              <w:t>შესრულების ვადა (სამუშაო დღე)</w:t>
            </w:r>
          </w:p>
        </w:tc>
      </w:tr>
      <w:tr w:rsidR="009E2430" w14:paraId="559EE77C" w14:textId="77777777" w:rsidTr="00531A20">
        <w:tc>
          <w:tcPr>
            <w:tcW w:w="4338" w:type="dxa"/>
          </w:tcPr>
          <w:p w14:paraId="01BDC667" w14:textId="30CFA827" w:rsidR="009E2430" w:rsidRPr="00E449C3" w:rsidRDefault="00E449C3" w:rsidP="00E449C3">
            <w:pPr>
              <w:jc w:val="left"/>
              <w:rPr>
                <w:rFonts w:eastAsiaTheme="minorEastAsia"/>
                <w:lang w:val="ka-GE" w:eastAsia="ja-JP"/>
              </w:rPr>
            </w:pPr>
            <w:r>
              <w:rPr>
                <w:rFonts w:eastAsiaTheme="minorEastAsia"/>
                <w:lang w:val="ka-GE" w:eastAsia="ja-JP"/>
              </w:rPr>
              <w:t>საქონლის მიწოდების ვადა, შეკვეთის მიღებიდან (თბილისი)</w:t>
            </w:r>
          </w:p>
        </w:tc>
        <w:tc>
          <w:tcPr>
            <w:tcW w:w="2250" w:type="dxa"/>
          </w:tcPr>
          <w:p w14:paraId="6871177C" w14:textId="77777777" w:rsidR="009E2430" w:rsidRDefault="009E2430" w:rsidP="00E449C3">
            <w:pPr>
              <w:jc w:val="center"/>
              <w:rPr>
                <w:rFonts w:eastAsiaTheme="minorEastAsia"/>
                <w:lang w:eastAsia="ja-JP"/>
              </w:rPr>
            </w:pPr>
          </w:p>
        </w:tc>
      </w:tr>
      <w:tr w:rsidR="009E2430" w14:paraId="6F4A418F" w14:textId="77777777" w:rsidTr="00531A20">
        <w:tc>
          <w:tcPr>
            <w:tcW w:w="4338" w:type="dxa"/>
          </w:tcPr>
          <w:p w14:paraId="4C235F0E" w14:textId="5A071D08" w:rsidR="009E2430" w:rsidRPr="00E449C3" w:rsidRDefault="00E449C3" w:rsidP="00E449C3">
            <w:pPr>
              <w:jc w:val="left"/>
              <w:rPr>
                <w:rFonts w:eastAsiaTheme="minorEastAsia"/>
                <w:lang w:val="ka-GE" w:eastAsia="ja-JP"/>
              </w:rPr>
            </w:pPr>
            <w:r>
              <w:rPr>
                <w:rFonts w:eastAsiaTheme="minorEastAsia"/>
                <w:lang w:val="ka-GE" w:eastAsia="ja-JP"/>
              </w:rPr>
              <w:t xml:space="preserve">საქონლის </w:t>
            </w:r>
            <w:r w:rsidR="00C23283">
              <w:rPr>
                <w:rFonts w:eastAsiaTheme="minorEastAsia"/>
                <w:lang w:val="ka-GE" w:eastAsia="ja-JP"/>
              </w:rPr>
              <w:t>მიწოდების ვადა</w:t>
            </w:r>
            <w:r>
              <w:rPr>
                <w:rFonts w:eastAsiaTheme="minorEastAsia"/>
                <w:lang w:val="ka-GE" w:eastAsia="ja-JP"/>
              </w:rPr>
              <w:t>, შეკვეთის მიღებიდან (რეგიონი)</w:t>
            </w:r>
          </w:p>
        </w:tc>
        <w:tc>
          <w:tcPr>
            <w:tcW w:w="2250" w:type="dxa"/>
          </w:tcPr>
          <w:p w14:paraId="04028238" w14:textId="77777777" w:rsidR="009E2430" w:rsidRDefault="009E2430" w:rsidP="00E449C3">
            <w:pPr>
              <w:jc w:val="center"/>
              <w:rPr>
                <w:rFonts w:eastAsiaTheme="minorEastAsia"/>
                <w:lang w:eastAsia="ja-JP"/>
              </w:rPr>
            </w:pPr>
          </w:p>
        </w:tc>
      </w:tr>
      <w:tr w:rsidR="009E2430" w14:paraId="0EF5C893" w14:textId="77777777" w:rsidTr="00531A20">
        <w:tc>
          <w:tcPr>
            <w:tcW w:w="4338" w:type="dxa"/>
          </w:tcPr>
          <w:p w14:paraId="0EC1F307" w14:textId="2E69D634" w:rsidR="009E2430" w:rsidRPr="00E449C3" w:rsidRDefault="00E449C3" w:rsidP="00531A20">
            <w:pPr>
              <w:jc w:val="left"/>
              <w:rPr>
                <w:rFonts w:eastAsiaTheme="minorEastAsia"/>
                <w:lang w:val="ka-GE" w:eastAsia="ja-JP"/>
              </w:rPr>
            </w:pPr>
            <w:r>
              <w:rPr>
                <w:rFonts w:eastAsiaTheme="minorEastAsia"/>
                <w:lang w:val="ka-GE" w:eastAsia="ja-JP"/>
              </w:rPr>
              <w:t>დაზიანებული დისპენსერების შეცვლა-ჩანაცვლება (თბილისი)</w:t>
            </w:r>
          </w:p>
        </w:tc>
        <w:tc>
          <w:tcPr>
            <w:tcW w:w="2250" w:type="dxa"/>
          </w:tcPr>
          <w:p w14:paraId="4195128F" w14:textId="77777777" w:rsidR="009E2430" w:rsidRDefault="009E2430" w:rsidP="00E449C3">
            <w:pPr>
              <w:jc w:val="center"/>
              <w:rPr>
                <w:rFonts w:eastAsiaTheme="minorEastAsia"/>
                <w:lang w:eastAsia="ja-JP"/>
              </w:rPr>
            </w:pPr>
          </w:p>
        </w:tc>
      </w:tr>
      <w:tr w:rsidR="009E2430" w14:paraId="78B39B9A" w14:textId="77777777" w:rsidTr="00531A20">
        <w:tc>
          <w:tcPr>
            <w:tcW w:w="4338" w:type="dxa"/>
          </w:tcPr>
          <w:p w14:paraId="061C73F7" w14:textId="5DF1B4D7" w:rsidR="009E2430" w:rsidRDefault="00E449C3" w:rsidP="00C23283">
            <w:pPr>
              <w:jc w:val="left"/>
              <w:rPr>
                <w:rFonts w:eastAsiaTheme="minorEastAsia"/>
                <w:lang w:eastAsia="ja-JP"/>
              </w:rPr>
            </w:pPr>
            <w:r>
              <w:rPr>
                <w:rFonts w:eastAsiaTheme="minorEastAsia"/>
                <w:lang w:val="ka-GE" w:eastAsia="ja-JP"/>
              </w:rPr>
              <w:t>დაზიანებული დისპენსერების შეცვლა-ჩანაცვლება (რეგიონი)</w:t>
            </w:r>
          </w:p>
        </w:tc>
        <w:tc>
          <w:tcPr>
            <w:tcW w:w="2250" w:type="dxa"/>
          </w:tcPr>
          <w:p w14:paraId="0C9985ED" w14:textId="77777777" w:rsidR="009E2430" w:rsidRDefault="009E2430" w:rsidP="00E449C3">
            <w:pPr>
              <w:jc w:val="center"/>
              <w:rPr>
                <w:rFonts w:eastAsiaTheme="minorEastAsia"/>
                <w:lang w:eastAsia="ja-JP"/>
              </w:rPr>
            </w:pPr>
          </w:p>
        </w:tc>
      </w:tr>
      <w:tr w:rsidR="009E2430" w14:paraId="2F4251FA" w14:textId="77777777" w:rsidTr="00531A20">
        <w:tc>
          <w:tcPr>
            <w:tcW w:w="4338" w:type="dxa"/>
          </w:tcPr>
          <w:p w14:paraId="1D65603A" w14:textId="57B3588F" w:rsidR="009E2430" w:rsidRPr="00E449C3" w:rsidRDefault="00E449C3" w:rsidP="0043167D">
            <w:pPr>
              <w:jc w:val="left"/>
              <w:rPr>
                <w:rFonts w:eastAsiaTheme="minorEastAsia"/>
                <w:lang w:val="ka-GE" w:eastAsia="ja-JP"/>
              </w:rPr>
            </w:pPr>
            <w:r>
              <w:rPr>
                <w:rFonts w:eastAsiaTheme="minorEastAsia"/>
                <w:lang w:val="ka-GE" w:eastAsia="ja-JP"/>
              </w:rPr>
              <w:t>დამატებითი დისპენსერის მოწოდება (თბილისი)</w:t>
            </w:r>
          </w:p>
        </w:tc>
        <w:tc>
          <w:tcPr>
            <w:tcW w:w="2250" w:type="dxa"/>
          </w:tcPr>
          <w:p w14:paraId="55295F85" w14:textId="77777777" w:rsidR="009E2430" w:rsidRDefault="009E2430" w:rsidP="00E449C3">
            <w:pPr>
              <w:jc w:val="center"/>
              <w:rPr>
                <w:rFonts w:eastAsiaTheme="minorEastAsia"/>
                <w:lang w:eastAsia="ja-JP"/>
              </w:rPr>
            </w:pPr>
          </w:p>
        </w:tc>
      </w:tr>
      <w:tr w:rsidR="00E449C3" w14:paraId="5AC15974" w14:textId="77777777" w:rsidTr="00531A20">
        <w:tc>
          <w:tcPr>
            <w:tcW w:w="4338" w:type="dxa"/>
          </w:tcPr>
          <w:p w14:paraId="167D3CFC" w14:textId="1AB02FE0" w:rsidR="00E449C3" w:rsidRDefault="00E449C3" w:rsidP="0043167D">
            <w:pPr>
              <w:jc w:val="left"/>
              <w:rPr>
                <w:rFonts w:eastAsiaTheme="minorEastAsia"/>
                <w:lang w:eastAsia="ja-JP"/>
              </w:rPr>
            </w:pPr>
            <w:r>
              <w:rPr>
                <w:rFonts w:eastAsiaTheme="minorEastAsia"/>
                <w:lang w:val="ka-GE" w:eastAsia="ja-JP"/>
              </w:rPr>
              <w:t>დამატებითი დისპენსერის მოწოდება (რეგიონი)</w:t>
            </w:r>
          </w:p>
        </w:tc>
        <w:tc>
          <w:tcPr>
            <w:tcW w:w="2250" w:type="dxa"/>
          </w:tcPr>
          <w:p w14:paraId="5D993CE1" w14:textId="77777777" w:rsidR="00E449C3" w:rsidRDefault="00E449C3" w:rsidP="00E449C3">
            <w:pPr>
              <w:jc w:val="center"/>
              <w:rPr>
                <w:rFonts w:eastAsiaTheme="minorEastAsia"/>
                <w:lang w:eastAsia="ja-JP"/>
              </w:rPr>
            </w:pPr>
          </w:p>
        </w:tc>
      </w:tr>
      <w:tr w:rsidR="00531A20" w14:paraId="10EED78F" w14:textId="77777777" w:rsidTr="00531A20">
        <w:tc>
          <w:tcPr>
            <w:tcW w:w="4338" w:type="dxa"/>
          </w:tcPr>
          <w:p w14:paraId="0AFF9121" w14:textId="64945100" w:rsidR="00531A20" w:rsidRDefault="00531A20" w:rsidP="0043167D">
            <w:pPr>
              <w:jc w:val="left"/>
              <w:rPr>
                <w:rFonts w:eastAsiaTheme="minorEastAsia"/>
                <w:lang w:val="ka-GE" w:eastAsia="ja-JP"/>
              </w:rPr>
            </w:pPr>
            <w:r>
              <w:rPr>
                <w:rFonts w:eastAsiaTheme="minorEastAsia"/>
                <w:lang w:val="ka-GE" w:eastAsia="ja-JP"/>
              </w:rPr>
              <w:t>სხვა სახის ინციდენტის (</w:t>
            </w:r>
            <w:r w:rsidR="00C23283">
              <w:rPr>
                <w:rFonts w:eastAsiaTheme="minorEastAsia"/>
                <w:lang w:val="ka-GE" w:eastAsia="ja-JP"/>
              </w:rPr>
              <w:t xml:space="preserve">მაგ. </w:t>
            </w:r>
            <w:proofErr w:type="spellStart"/>
            <w:r w:rsidRPr="009E2430">
              <w:rPr>
                <w:rFonts w:eastAsiaTheme="minorEastAsia"/>
                <w:lang w:eastAsia="ja-JP"/>
              </w:rPr>
              <w:t>ჭიქის</w:t>
            </w:r>
            <w:proofErr w:type="spellEnd"/>
            <w:r w:rsidRPr="009E2430">
              <w:rPr>
                <w:rFonts w:eastAsiaTheme="minorEastAsia"/>
                <w:lang w:eastAsia="ja-JP"/>
              </w:rPr>
              <w:t xml:space="preserve"> </w:t>
            </w:r>
            <w:proofErr w:type="spellStart"/>
            <w:r w:rsidRPr="009E2430">
              <w:rPr>
                <w:rFonts w:eastAsiaTheme="minorEastAsia"/>
                <w:lang w:eastAsia="ja-JP"/>
              </w:rPr>
              <w:t>დამჭერის</w:t>
            </w:r>
            <w:proofErr w:type="spellEnd"/>
            <w:r w:rsidRPr="009E2430">
              <w:rPr>
                <w:rFonts w:eastAsiaTheme="minorEastAsia"/>
                <w:lang w:eastAsia="ja-JP"/>
              </w:rPr>
              <w:t xml:space="preserve"> </w:t>
            </w:r>
            <w:r>
              <w:rPr>
                <w:rFonts w:eastAsiaTheme="minorEastAsia"/>
                <w:lang w:val="ka-GE" w:eastAsia="ja-JP"/>
              </w:rPr>
              <w:t>ა</w:t>
            </w:r>
            <w:r w:rsidR="00C23283">
              <w:rPr>
                <w:rFonts w:eastAsiaTheme="minorEastAsia"/>
                <w:lang w:val="ka-GE" w:eastAsia="ja-JP"/>
              </w:rPr>
              <w:t>ნ სხვა</w:t>
            </w:r>
            <w:r>
              <w:rPr>
                <w:rFonts w:eastAsiaTheme="minorEastAsia"/>
                <w:lang w:val="ka-GE" w:eastAsia="ja-JP"/>
              </w:rPr>
              <w:t>)  მოგვარება, თბილისი</w:t>
            </w:r>
          </w:p>
        </w:tc>
        <w:tc>
          <w:tcPr>
            <w:tcW w:w="2250" w:type="dxa"/>
          </w:tcPr>
          <w:p w14:paraId="096F6127" w14:textId="77777777" w:rsidR="00531A20" w:rsidRDefault="00531A20" w:rsidP="00E449C3">
            <w:pPr>
              <w:jc w:val="center"/>
              <w:rPr>
                <w:rFonts w:eastAsiaTheme="minorEastAsia"/>
                <w:lang w:eastAsia="ja-JP"/>
              </w:rPr>
            </w:pPr>
          </w:p>
        </w:tc>
      </w:tr>
      <w:tr w:rsidR="00531A20" w14:paraId="3D050F19" w14:textId="77777777" w:rsidTr="00531A20">
        <w:tc>
          <w:tcPr>
            <w:tcW w:w="4338" w:type="dxa"/>
          </w:tcPr>
          <w:p w14:paraId="0C27EAD7" w14:textId="2C2347A0" w:rsidR="00531A20" w:rsidRDefault="00531A20" w:rsidP="00531A20">
            <w:pPr>
              <w:jc w:val="left"/>
              <w:rPr>
                <w:rFonts w:eastAsiaTheme="minorEastAsia"/>
                <w:lang w:val="ka-GE" w:eastAsia="ja-JP"/>
              </w:rPr>
            </w:pPr>
            <w:r>
              <w:rPr>
                <w:rFonts w:eastAsiaTheme="minorEastAsia"/>
                <w:lang w:val="ka-GE" w:eastAsia="ja-JP"/>
              </w:rPr>
              <w:t>სხვა სახის ინციდენტის (</w:t>
            </w:r>
            <w:r w:rsidR="00C23283">
              <w:rPr>
                <w:rFonts w:eastAsiaTheme="minorEastAsia"/>
                <w:lang w:val="ka-GE" w:eastAsia="ja-JP"/>
              </w:rPr>
              <w:t xml:space="preserve">მაგ. </w:t>
            </w:r>
            <w:proofErr w:type="spellStart"/>
            <w:r w:rsidRPr="009E2430">
              <w:rPr>
                <w:rFonts w:eastAsiaTheme="minorEastAsia"/>
                <w:lang w:eastAsia="ja-JP"/>
              </w:rPr>
              <w:t>ჭიქის</w:t>
            </w:r>
            <w:proofErr w:type="spellEnd"/>
            <w:r w:rsidRPr="009E2430">
              <w:rPr>
                <w:rFonts w:eastAsiaTheme="minorEastAsia"/>
                <w:lang w:eastAsia="ja-JP"/>
              </w:rPr>
              <w:t xml:space="preserve"> </w:t>
            </w:r>
            <w:proofErr w:type="spellStart"/>
            <w:r w:rsidRPr="009E2430">
              <w:rPr>
                <w:rFonts w:eastAsiaTheme="minorEastAsia"/>
                <w:lang w:eastAsia="ja-JP"/>
              </w:rPr>
              <w:t>დამჭერის</w:t>
            </w:r>
            <w:proofErr w:type="spellEnd"/>
            <w:r w:rsidRPr="009E2430">
              <w:rPr>
                <w:rFonts w:eastAsiaTheme="minorEastAsia"/>
                <w:lang w:eastAsia="ja-JP"/>
              </w:rPr>
              <w:t xml:space="preserve"> </w:t>
            </w:r>
            <w:r w:rsidR="00C23283">
              <w:rPr>
                <w:rFonts w:eastAsiaTheme="minorEastAsia"/>
                <w:lang w:val="ka-GE" w:eastAsia="ja-JP"/>
              </w:rPr>
              <w:t>ან სხვა</w:t>
            </w:r>
            <w:r>
              <w:rPr>
                <w:rFonts w:eastAsiaTheme="minorEastAsia"/>
                <w:lang w:val="ka-GE" w:eastAsia="ja-JP"/>
              </w:rPr>
              <w:t>)  მოგვარება, რეგიონი</w:t>
            </w:r>
          </w:p>
        </w:tc>
        <w:tc>
          <w:tcPr>
            <w:tcW w:w="2250" w:type="dxa"/>
          </w:tcPr>
          <w:p w14:paraId="7268E423" w14:textId="77777777" w:rsidR="00531A20" w:rsidRDefault="00531A20" w:rsidP="00E449C3">
            <w:pPr>
              <w:jc w:val="center"/>
              <w:rPr>
                <w:rFonts w:eastAsiaTheme="minorEastAsia"/>
                <w:lang w:eastAsia="ja-JP"/>
              </w:rPr>
            </w:pPr>
          </w:p>
        </w:tc>
      </w:tr>
    </w:tbl>
    <w:p w14:paraId="0586AF92" w14:textId="77777777" w:rsidR="0043167D" w:rsidRDefault="0043167D" w:rsidP="0043167D">
      <w:pPr>
        <w:jc w:val="left"/>
        <w:rPr>
          <w:rFonts w:eastAsiaTheme="minorEastAsia"/>
          <w:lang w:eastAsia="ja-JP"/>
        </w:rPr>
      </w:pPr>
    </w:p>
    <w:p w14:paraId="1B0A25A5" w14:textId="77777777" w:rsidR="0043167D" w:rsidRDefault="0043167D" w:rsidP="0043167D">
      <w:pPr>
        <w:jc w:val="left"/>
        <w:rPr>
          <w:rFonts w:eastAsiaTheme="minorEastAsia"/>
          <w:lang w:eastAsia="ja-JP"/>
        </w:rPr>
      </w:pPr>
    </w:p>
    <w:p w14:paraId="6F52E7DB" w14:textId="77777777" w:rsidR="0043167D" w:rsidRDefault="0043167D" w:rsidP="0043167D">
      <w:pPr>
        <w:jc w:val="left"/>
        <w:rPr>
          <w:rFonts w:eastAsiaTheme="minorEastAsia"/>
          <w:lang w:eastAsia="ja-JP"/>
        </w:rPr>
      </w:pPr>
    </w:p>
    <w:p w14:paraId="5A95B03F" w14:textId="77777777" w:rsidR="0043167D" w:rsidRDefault="0043167D" w:rsidP="0043167D">
      <w:pPr>
        <w:jc w:val="left"/>
        <w:rPr>
          <w:rFonts w:eastAsiaTheme="minorEastAsia"/>
          <w:lang w:eastAsia="ja-JP"/>
        </w:rPr>
      </w:pPr>
    </w:p>
    <w:p w14:paraId="3B974C1C" w14:textId="77777777" w:rsidR="0043167D" w:rsidRDefault="0043167D" w:rsidP="0043167D">
      <w:pPr>
        <w:jc w:val="left"/>
        <w:rPr>
          <w:rFonts w:eastAsiaTheme="minorEastAsia"/>
          <w:lang w:eastAsia="ja-JP"/>
        </w:rPr>
      </w:pPr>
    </w:p>
    <w:p w14:paraId="364FA53D" w14:textId="77777777" w:rsidR="0043167D" w:rsidRDefault="0043167D" w:rsidP="0043167D">
      <w:pPr>
        <w:jc w:val="left"/>
        <w:rPr>
          <w:rFonts w:eastAsiaTheme="minorEastAsia"/>
          <w:lang w:eastAsia="ja-JP"/>
        </w:rPr>
      </w:pPr>
    </w:p>
    <w:p w14:paraId="2882F18C" w14:textId="77777777" w:rsidR="0043167D" w:rsidRDefault="0043167D" w:rsidP="0043167D">
      <w:pPr>
        <w:jc w:val="left"/>
        <w:rPr>
          <w:rFonts w:eastAsiaTheme="minorEastAsia"/>
          <w:lang w:eastAsia="ja-JP"/>
        </w:rPr>
      </w:pPr>
    </w:p>
    <w:p w14:paraId="42796046" w14:textId="77777777" w:rsidR="0043167D" w:rsidRDefault="0043167D" w:rsidP="0043167D">
      <w:pPr>
        <w:jc w:val="left"/>
        <w:rPr>
          <w:rFonts w:eastAsiaTheme="minorEastAsia"/>
          <w:lang w:eastAsia="ja-JP"/>
        </w:rPr>
      </w:pPr>
    </w:p>
    <w:p w14:paraId="456F4428" w14:textId="77777777" w:rsidR="0043167D" w:rsidRDefault="0043167D" w:rsidP="0043167D">
      <w:pPr>
        <w:jc w:val="left"/>
        <w:rPr>
          <w:rFonts w:eastAsiaTheme="minorEastAsia"/>
          <w:lang w:eastAsia="ja-JP"/>
        </w:rPr>
      </w:pPr>
    </w:p>
    <w:p w14:paraId="58968D7E" w14:textId="77777777" w:rsidR="0043167D" w:rsidRDefault="0043167D" w:rsidP="0043167D">
      <w:pPr>
        <w:jc w:val="left"/>
        <w:rPr>
          <w:rFonts w:eastAsiaTheme="minorEastAsia"/>
          <w:lang w:eastAsia="ja-JP"/>
        </w:rPr>
      </w:pPr>
    </w:p>
    <w:p w14:paraId="22BF083F" w14:textId="77777777" w:rsidR="0043167D" w:rsidRDefault="0043167D" w:rsidP="0043167D">
      <w:pPr>
        <w:jc w:val="left"/>
        <w:rPr>
          <w:rFonts w:eastAsiaTheme="minorEastAsia"/>
          <w:lang w:eastAsia="ja-JP"/>
        </w:rPr>
      </w:pPr>
    </w:p>
    <w:p w14:paraId="15AC1AD4" w14:textId="77777777" w:rsidR="0043167D" w:rsidRDefault="0043167D" w:rsidP="0043167D">
      <w:pPr>
        <w:jc w:val="left"/>
        <w:rPr>
          <w:rFonts w:eastAsiaTheme="minorEastAsia"/>
          <w:lang w:eastAsia="ja-JP"/>
        </w:rPr>
      </w:pPr>
    </w:p>
    <w:p w14:paraId="068DE480" w14:textId="77777777" w:rsidR="0043167D" w:rsidRDefault="0043167D" w:rsidP="0043167D">
      <w:pPr>
        <w:jc w:val="left"/>
        <w:rPr>
          <w:rFonts w:eastAsiaTheme="minorEastAsia"/>
          <w:lang w:eastAsia="ja-JP"/>
        </w:rPr>
      </w:pPr>
    </w:p>
    <w:p w14:paraId="0C83BFCB" w14:textId="77777777" w:rsidR="0043167D" w:rsidRDefault="0043167D" w:rsidP="0043167D">
      <w:pPr>
        <w:jc w:val="left"/>
        <w:rPr>
          <w:rFonts w:eastAsiaTheme="minorEastAsia"/>
          <w:lang w:eastAsia="ja-JP"/>
        </w:rPr>
      </w:pPr>
    </w:p>
    <w:p w14:paraId="5DAF3C31" w14:textId="77777777" w:rsidR="00643B5F" w:rsidRDefault="00643B5F" w:rsidP="00BD4E7F">
      <w:pPr>
        <w:pStyle w:val="a"/>
        <w:numPr>
          <w:ilvl w:val="0"/>
          <w:numId w:val="0"/>
        </w:numPr>
        <w:ind w:left="360" w:hanging="360"/>
        <w:rPr>
          <w:rFonts w:eastAsiaTheme="minorHAnsi" w:cs="Sylfaen"/>
          <w:color w:val="231F20"/>
          <w:sz w:val="22"/>
          <w:szCs w:val="20"/>
          <w:lang w:eastAsia="en-US"/>
        </w:rPr>
      </w:pPr>
      <w:bookmarkStart w:id="7" w:name="_Toc22227848"/>
    </w:p>
    <w:bookmarkEnd w:id="7"/>
    <w:p w14:paraId="05469CFC" w14:textId="77777777" w:rsidR="007B085E" w:rsidRDefault="007B085E" w:rsidP="00C525A4">
      <w:pPr>
        <w:pStyle w:val="a"/>
        <w:numPr>
          <w:ilvl w:val="0"/>
          <w:numId w:val="0"/>
        </w:numPr>
      </w:pPr>
    </w:p>
    <w:p w14:paraId="1E7C359D" w14:textId="77777777" w:rsidR="00082325" w:rsidRDefault="00082325" w:rsidP="002E1757">
      <w:pPr>
        <w:pStyle w:val="a0"/>
        <w:numPr>
          <w:ilvl w:val="0"/>
          <w:numId w:val="0"/>
        </w:numPr>
        <w:ind w:left="360"/>
        <w:rPr>
          <w:lang w:val="ka-GE"/>
        </w:rPr>
        <w:sectPr w:rsidR="00082325" w:rsidSect="00BE670B">
          <w:pgSz w:w="11909" w:h="16704" w:code="9"/>
          <w:pgMar w:top="634" w:right="922" w:bottom="0" w:left="907" w:header="432" w:footer="720" w:gutter="0"/>
          <w:pgNumType w:start="0" w:chapStyle="9" w:chapSep="enDash"/>
          <w:cols w:space="1080"/>
          <w:titlePg/>
          <w:docGrid w:linePitch="360"/>
        </w:sectPr>
      </w:pPr>
    </w:p>
    <w:p w14:paraId="0CE9B556" w14:textId="3BE36A92" w:rsidR="002E1757" w:rsidRDefault="002E1757" w:rsidP="002E1757">
      <w:pPr>
        <w:pStyle w:val="a0"/>
        <w:numPr>
          <w:ilvl w:val="0"/>
          <w:numId w:val="0"/>
        </w:numPr>
        <w:ind w:left="360"/>
        <w:rPr>
          <w:lang w:val="ka-GE"/>
        </w:rPr>
      </w:pPr>
    </w:p>
    <w:p w14:paraId="1E2181F5" w14:textId="77777777" w:rsidR="00082325" w:rsidRDefault="00082325" w:rsidP="002E1757">
      <w:pPr>
        <w:pStyle w:val="a0"/>
        <w:numPr>
          <w:ilvl w:val="0"/>
          <w:numId w:val="0"/>
        </w:numPr>
        <w:ind w:left="360"/>
        <w:rPr>
          <w:lang w:val="ka-GE"/>
        </w:rPr>
      </w:pPr>
    </w:p>
    <w:p w14:paraId="06835725" w14:textId="77777777" w:rsidR="00082325" w:rsidRDefault="00082325" w:rsidP="002E1757">
      <w:pPr>
        <w:pStyle w:val="a0"/>
        <w:numPr>
          <w:ilvl w:val="0"/>
          <w:numId w:val="0"/>
        </w:numPr>
        <w:ind w:left="360"/>
        <w:rPr>
          <w:lang w:val="ka-GE"/>
        </w:rPr>
      </w:pPr>
    </w:p>
    <w:p w14:paraId="77B2D053" w14:textId="77777777" w:rsidR="00082325" w:rsidRPr="002E1757" w:rsidRDefault="00082325" w:rsidP="002E1757">
      <w:pPr>
        <w:pStyle w:val="a0"/>
        <w:numPr>
          <w:ilvl w:val="0"/>
          <w:numId w:val="0"/>
        </w:numPr>
        <w:ind w:left="360"/>
        <w:rPr>
          <w:lang w:val="ka-GE"/>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8" w:name="_Toc22227849"/>
      <w:r w:rsidRPr="00C525A4">
        <w:rPr>
          <w:rFonts w:eastAsiaTheme="minorHAnsi" w:cs="Sylfaen"/>
          <w:color w:val="231F20"/>
          <w:sz w:val="22"/>
          <w:szCs w:val="20"/>
          <w:lang w:eastAsia="en-US"/>
        </w:rPr>
        <w:t>დანართი 2: საბანკო რეკვიზიტები</w:t>
      </w:r>
      <w:bookmarkEnd w:id="8"/>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BA633" w14:textId="77777777" w:rsidR="00CC0BBC" w:rsidRDefault="00CC0BBC" w:rsidP="002E7950">
      <w:r>
        <w:separator/>
      </w:r>
    </w:p>
  </w:endnote>
  <w:endnote w:type="continuationSeparator" w:id="0">
    <w:p w14:paraId="01A63167" w14:textId="77777777" w:rsidR="00CC0BBC" w:rsidRDefault="00CC0BB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E252EE">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E252EE">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FC42F" w14:textId="77777777" w:rsidR="00CC0BBC" w:rsidRDefault="00CC0BBC" w:rsidP="002E7950">
      <w:r>
        <w:separator/>
      </w:r>
    </w:p>
  </w:footnote>
  <w:footnote w:type="continuationSeparator" w:id="0">
    <w:p w14:paraId="5E231D52" w14:textId="77777777" w:rsidR="00CC0BBC" w:rsidRDefault="00CC0BB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0967E5"/>
    <w:multiLevelType w:val="hybridMultilevel"/>
    <w:tmpl w:val="136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1"/>
  </w:num>
  <w:num w:numId="4">
    <w:abstractNumId w:val="13"/>
  </w:num>
  <w:num w:numId="5">
    <w:abstractNumId w:val="12"/>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7"/>
  </w:num>
  <w:num w:numId="9">
    <w:abstractNumId w:val="19"/>
  </w:num>
  <w:num w:numId="10">
    <w:abstractNumId w:val="4"/>
  </w:num>
  <w:num w:numId="11">
    <w:abstractNumId w:val="18"/>
  </w:num>
  <w:num w:numId="12">
    <w:abstractNumId w:val="0"/>
  </w:num>
  <w:num w:numId="13">
    <w:abstractNumId w:val="2"/>
  </w:num>
  <w:num w:numId="14">
    <w:abstractNumId w:val="22"/>
  </w:num>
  <w:num w:numId="15">
    <w:abstractNumId w:val="7"/>
  </w:num>
  <w:num w:numId="16">
    <w:abstractNumId w:val="16"/>
  </w:num>
  <w:num w:numId="17">
    <w:abstractNumId w:val="8"/>
  </w:num>
  <w:num w:numId="18">
    <w:abstractNumId w:val="10"/>
  </w:num>
  <w:num w:numId="19">
    <w:abstractNumId w:val="14"/>
  </w:num>
  <w:num w:numId="20">
    <w:abstractNumId w:val="11"/>
  </w:num>
  <w:num w:numId="21">
    <w:abstractNumId w:val="5"/>
  </w:num>
  <w:num w:numId="22">
    <w:abstractNumId w:val="9"/>
  </w:num>
  <w:num w:numId="23">
    <w:abstractNumId w:val="20"/>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1AF5"/>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47A1A"/>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325"/>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0A48"/>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2178"/>
    <w:rsid w:val="00183591"/>
    <w:rsid w:val="0018557C"/>
    <w:rsid w:val="001864ED"/>
    <w:rsid w:val="00187CD4"/>
    <w:rsid w:val="00190134"/>
    <w:rsid w:val="00190B82"/>
    <w:rsid w:val="00190CEC"/>
    <w:rsid w:val="00191D8B"/>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1DA"/>
    <w:rsid w:val="0020591D"/>
    <w:rsid w:val="00205CC4"/>
    <w:rsid w:val="002060C1"/>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780"/>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757"/>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479"/>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A18"/>
    <w:rsid w:val="003E0EC0"/>
    <w:rsid w:val="003E11E4"/>
    <w:rsid w:val="003E130F"/>
    <w:rsid w:val="003E1D4C"/>
    <w:rsid w:val="003E2129"/>
    <w:rsid w:val="003E2F95"/>
    <w:rsid w:val="003E4EF2"/>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167D"/>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D7E56"/>
    <w:rsid w:val="004E0F4F"/>
    <w:rsid w:val="004E101E"/>
    <w:rsid w:val="004E129C"/>
    <w:rsid w:val="004E15EB"/>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3A9F"/>
    <w:rsid w:val="005252D8"/>
    <w:rsid w:val="00525339"/>
    <w:rsid w:val="005255D9"/>
    <w:rsid w:val="0052642A"/>
    <w:rsid w:val="00526C70"/>
    <w:rsid w:val="00530A73"/>
    <w:rsid w:val="00530D0B"/>
    <w:rsid w:val="00531471"/>
    <w:rsid w:val="00531A20"/>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044D"/>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05BC"/>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B5F"/>
    <w:rsid w:val="00643D33"/>
    <w:rsid w:val="00645F56"/>
    <w:rsid w:val="00646DE5"/>
    <w:rsid w:val="00646E02"/>
    <w:rsid w:val="00647F5F"/>
    <w:rsid w:val="006505ED"/>
    <w:rsid w:val="00651252"/>
    <w:rsid w:val="00651AAE"/>
    <w:rsid w:val="00652C70"/>
    <w:rsid w:val="00653248"/>
    <w:rsid w:val="0065340B"/>
    <w:rsid w:val="00653558"/>
    <w:rsid w:val="00653632"/>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0E7A"/>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4633"/>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62EB"/>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68A"/>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6A86"/>
    <w:rsid w:val="007874AC"/>
    <w:rsid w:val="00787D4C"/>
    <w:rsid w:val="007905C3"/>
    <w:rsid w:val="00790DEB"/>
    <w:rsid w:val="00792C32"/>
    <w:rsid w:val="00792D79"/>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8DD"/>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58E0"/>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4F9"/>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19D2"/>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155"/>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EF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0AE"/>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14F"/>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430"/>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0BE9"/>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1C0B"/>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0E4"/>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283"/>
    <w:rsid w:val="00C23366"/>
    <w:rsid w:val="00C23F94"/>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3DE"/>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0BBC"/>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7A8"/>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2EE"/>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4F2"/>
    <w:rsid w:val="00E4444C"/>
    <w:rsid w:val="00E446CD"/>
    <w:rsid w:val="00E449C3"/>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3ABB"/>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432D"/>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0CD5"/>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344"/>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0BF"/>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449F7-07FD-48FE-BD51-6AA18A8E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Konstantine Metreveli</cp:lastModifiedBy>
  <cp:revision>52</cp:revision>
  <cp:lastPrinted>2019-10-17T14:03:00Z</cp:lastPrinted>
  <dcterms:created xsi:type="dcterms:W3CDTF">2020-03-05T10:06:00Z</dcterms:created>
  <dcterms:modified xsi:type="dcterms:W3CDTF">2021-04-14T11:44:00Z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